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7F4"/>
  <w:body>
    <w:p w14:paraId="1F681153" w14:textId="77777777" w:rsidR="0052546F" w:rsidRPr="00CA280A" w:rsidRDefault="000F2AE4" w:rsidP="007F0AFB">
      <w:pPr>
        <w:spacing w:after="8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1C406C0" wp14:editId="6843D8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cht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262" w:rsidRPr="00CA280A">
        <w:rPr>
          <w:rFonts w:ascii="Times New Roman" w:hAnsi="Times New Roman" w:cs="Times New Roman"/>
        </w:rPr>
        <w:t>Die nachfolgenden Ausführungen zur Kostenübernahme von Pflegekassen beziehen sich auf Bewohner, die in der gesetzlichen Pflegeversicherung versichert sind. Bei Bewohnern, die eine private Pflegeversicherung haben bzw. beihilfeberechtigt sind,</w:t>
      </w:r>
      <w:r w:rsidR="008D3164" w:rsidRPr="00CA280A">
        <w:rPr>
          <w:rFonts w:ascii="Times New Roman" w:hAnsi="Times New Roman" w:cs="Times New Roman"/>
        </w:rPr>
        <w:t xml:space="preserve"> </w:t>
      </w:r>
      <w:r w:rsidR="00DC0262" w:rsidRPr="00CA280A">
        <w:rPr>
          <w:rFonts w:ascii="Times New Roman" w:hAnsi="Times New Roman" w:cs="Times New Roman"/>
        </w:rPr>
        <w:t>gilt ggf. Abweichendes.</w:t>
      </w:r>
    </w:p>
    <w:p w14:paraId="766D4FCD" w14:textId="77777777" w:rsidR="0052546F" w:rsidRPr="007D3D71" w:rsidRDefault="0014548C" w:rsidP="007D3D71">
      <w:pPr>
        <w:pStyle w:val="berschrift1"/>
        <w:spacing w:after="244"/>
        <w:ind w:left="327" w:right="1"/>
        <w:rPr>
          <w:rFonts w:ascii="Times New Roman" w:hAnsi="Times New Roman" w:cs="Times New Roman"/>
          <w:i/>
          <w:color w:val="A1413F"/>
        </w:rPr>
      </w:pPr>
      <w:r w:rsidRPr="007D3D71">
        <w:rPr>
          <w:rFonts w:ascii="Times New Roman" w:hAnsi="Times New Roman" w:cs="Times New Roman"/>
          <w:i/>
          <w:color w:val="A1413F"/>
        </w:rPr>
        <w:t>Vollstationäre Pflege</w:t>
      </w:r>
    </w:p>
    <w:p w14:paraId="5A9B6395" w14:textId="77777777" w:rsidR="0052546F" w:rsidRDefault="00DC0262" w:rsidP="007F0AFB">
      <w:pPr>
        <w:spacing w:after="10"/>
        <w:ind w:left="-3"/>
        <w:jc w:val="both"/>
        <w:rPr>
          <w:rFonts w:ascii="Times New Roman" w:hAnsi="Times New Roman" w:cs="Times New Roman"/>
        </w:rPr>
      </w:pPr>
      <w:r w:rsidRPr="0014548C">
        <w:rPr>
          <w:rFonts w:ascii="Times New Roman" w:hAnsi="Times New Roman" w:cs="Times New Roman"/>
        </w:rPr>
        <w:t>In der aktuellen Vergütungsvereinbarung, die mit den Kostenträgern vereinbart wurde, sind</w:t>
      </w:r>
      <w:r w:rsidR="008A24D3">
        <w:rPr>
          <w:rFonts w:ascii="Times New Roman" w:hAnsi="Times New Roman" w:cs="Times New Roman"/>
        </w:rPr>
        <w:t xml:space="preserve"> folgende Tagessätze festgelegt:</w:t>
      </w:r>
    </w:p>
    <w:p w14:paraId="16482B91" w14:textId="77777777" w:rsidR="0014548C" w:rsidRPr="0014548C" w:rsidRDefault="0014548C" w:rsidP="007D3D71">
      <w:pPr>
        <w:spacing w:after="10"/>
        <w:ind w:left="-3"/>
        <w:rPr>
          <w:rFonts w:ascii="Times New Roman" w:hAnsi="Times New Roman" w:cs="Times New Roman"/>
        </w:rPr>
      </w:pPr>
    </w:p>
    <w:tbl>
      <w:tblPr>
        <w:tblStyle w:val="EinfacheTabelle1"/>
        <w:tblW w:w="9634" w:type="dxa"/>
        <w:tblBorders>
          <w:top w:val="single" w:sz="4" w:space="0" w:color="A1413F"/>
          <w:left w:val="single" w:sz="4" w:space="0" w:color="A1413F"/>
          <w:bottom w:val="single" w:sz="18" w:space="0" w:color="A1413F"/>
          <w:right w:val="single" w:sz="18" w:space="0" w:color="A1413F"/>
          <w:insideH w:val="single" w:sz="4" w:space="0" w:color="A1413F"/>
          <w:insideV w:val="single" w:sz="4" w:space="0" w:color="A1413F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6"/>
      </w:tblGrid>
      <w:tr w:rsidR="002B719E" w14:paraId="5D1B4649" w14:textId="77777777" w:rsidTr="00BA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69BC0462" w14:textId="77777777" w:rsidR="002B719E" w:rsidRPr="0014548C" w:rsidRDefault="002B719E" w:rsidP="002B719E">
            <w:pPr>
              <w:spacing w:before="60" w:after="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pflegebedingter Aufwand</w:t>
            </w:r>
          </w:p>
        </w:tc>
        <w:tc>
          <w:tcPr>
            <w:tcW w:w="2126" w:type="dxa"/>
          </w:tcPr>
          <w:p w14:paraId="6D0111F8" w14:textId="77777777" w:rsidR="002B719E" w:rsidRPr="0014548C" w:rsidRDefault="002B719E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B719E" w14:paraId="72ACEECC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644DA3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5034E5D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1</w:t>
            </w:r>
          </w:p>
        </w:tc>
        <w:tc>
          <w:tcPr>
            <w:tcW w:w="2126" w:type="dxa"/>
          </w:tcPr>
          <w:p w14:paraId="1AE23236" w14:textId="75681A1B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70,03</w:t>
            </w:r>
          </w:p>
        </w:tc>
      </w:tr>
      <w:tr w:rsidR="002B719E" w:rsidRPr="0014548C" w14:paraId="74EE17F2" w14:textId="77777777" w:rsidTr="00BA6F6E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51F640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660F60D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2</w:t>
            </w:r>
          </w:p>
        </w:tc>
        <w:tc>
          <w:tcPr>
            <w:tcW w:w="2126" w:type="dxa"/>
          </w:tcPr>
          <w:p w14:paraId="40CC33DA" w14:textId="4546231B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89,78</w:t>
            </w:r>
          </w:p>
        </w:tc>
      </w:tr>
      <w:tr w:rsidR="002B719E" w:rsidRPr="0014548C" w14:paraId="4752CE7A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199260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1169A2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3</w:t>
            </w:r>
          </w:p>
        </w:tc>
        <w:tc>
          <w:tcPr>
            <w:tcW w:w="2126" w:type="dxa"/>
          </w:tcPr>
          <w:p w14:paraId="7C0E2FF5" w14:textId="7589A868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106,68</w:t>
            </w:r>
          </w:p>
        </w:tc>
      </w:tr>
      <w:tr w:rsidR="002B719E" w:rsidRPr="0014548C" w14:paraId="7D36AAFF" w14:textId="77777777" w:rsidTr="00BA6F6E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EC7FD8E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570541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4</w:t>
            </w:r>
          </w:p>
        </w:tc>
        <w:tc>
          <w:tcPr>
            <w:tcW w:w="2126" w:type="dxa"/>
          </w:tcPr>
          <w:p w14:paraId="4A717231" w14:textId="0396FE9B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124,30</w:t>
            </w:r>
          </w:p>
        </w:tc>
      </w:tr>
      <w:tr w:rsidR="002B719E" w:rsidRPr="0014548C" w14:paraId="361B3C20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4AF9BD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5BA04E" w14:textId="77777777" w:rsidR="002B719E" w:rsidRPr="0014548C" w:rsidRDefault="002B719E" w:rsidP="002B719E">
            <w:pPr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5</w:t>
            </w:r>
          </w:p>
        </w:tc>
        <w:tc>
          <w:tcPr>
            <w:tcW w:w="2126" w:type="dxa"/>
          </w:tcPr>
          <w:p w14:paraId="0E217F3F" w14:textId="571C4CED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132,22</w:t>
            </w:r>
          </w:p>
        </w:tc>
      </w:tr>
      <w:tr w:rsidR="002B719E" w14:paraId="2FA3D908" w14:textId="77777777" w:rsidTr="00BA6F6E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3631CB46" w14:textId="77777777" w:rsidR="002B719E" w:rsidRPr="0014548C" w:rsidRDefault="002B719E" w:rsidP="002B719E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 xml:space="preserve">Umlage </w:t>
            </w:r>
            <w:r>
              <w:rPr>
                <w:rFonts w:ascii="Times New Roman" w:hAnsi="Times New Roman" w:cs="Times New Roman"/>
              </w:rPr>
              <w:t>P</w:t>
            </w:r>
            <w:r w:rsidRPr="0014548C">
              <w:rPr>
                <w:rFonts w:ascii="Times New Roman" w:hAnsi="Times New Roman" w:cs="Times New Roman"/>
              </w:rPr>
              <w:t>flegeausbildung</w:t>
            </w:r>
          </w:p>
        </w:tc>
        <w:tc>
          <w:tcPr>
            <w:tcW w:w="2126" w:type="dxa"/>
          </w:tcPr>
          <w:p w14:paraId="2F501E36" w14:textId="5064A0B8" w:rsidR="002B719E" w:rsidRPr="0014548C" w:rsidRDefault="001B6A60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</w:tr>
      <w:tr w:rsidR="002B719E" w14:paraId="1B656D25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3BC9D276" w14:textId="77777777" w:rsidR="002B719E" w:rsidRPr="0014548C" w:rsidRDefault="002B719E" w:rsidP="002B719E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Unterkunft</w:t>
            </w:r>
          </w:p>
        </w:tc>
        <w:tc>
          <w:tcPr>
            <w:tcW w:w="2126" w:type="dxa"/>
          </w:tcPr>
          <w:p w14:paraId="489BC871" w14:textId="0E3F9349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24,30</w:t>
            </w:r>
          </w:p>
        </w:tc>
      </w:tr>
      <w:tr w:rsidR="002B719E" w14:paraId="365EE5EA" w14:textId="77777777" w:rsidTr="00BA6F6E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1D18F2F8" w14:textId="77777777" w:rsidR="002B719E" w:rsidRPr="0014548C" w:rsidRDefault="002B719E" w:rsidP="002B719E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Verpflegung</w:t>
            </w:r>
          </w:p>
        </w:tc>
        <w:tc>
          <w:tcPr>
            <w:tcW w:w="2126" w:type="dxa"/>
          </w:tcPr>
          <w:p w14:paraId="612DD55B" w14:textId="74229027" w:rsidR="002B719E" w:rsidRPr="0014548C" w:rsidRDefault="007D2DE1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18,71</w:t>
            </w:r>
          </w:p>
        </w:tc>
      </w:tr>
      <w:tr w:rsidR="006D7255" w14:paraId="340905F4" w14:textId="77777777" w:rsidTr="0088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342BD6C3" w14:textId="6FBDA29A" w:rsidR="006D7255" w:rsidRPr="002907F4" w:rsidRDefault="006D7255" w:rsidP="002B719E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  <w:b w:val="0"/>
                <w:i/>
              </w:rPr>
            </w:pPr>
            <w:r w:rsidRPr="0014548C">
              <w:rPr>
                <w:rFonts w:ascii="Times New Roman" w:hAnsi="Times New Roman" w:cs="Times New Roman"/>
              </w:rPr>
              <w:t>Investitionskosten</w:t>
            </w:r>
          </w:p>
        </w:tc>
        <w:tc>
          <w:tcPr>
            <w:tcW w:w="2126" w:type="dxa"/>
          </w:tcPr>
          <w:p w14:paraId="10DAC6CB" w14:textId="0FE748ED" w:rsidR="006D7255" w:rsidRPr="0014548C" w:rsidRDefault="006D7255" w:rsidP="002B719E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28,18</w:t>
            </w:r>
          </w:p>
        </w:tc>
      </w:tr>
    </w:tbl>
    <w:p w14:paraId="593641EC" w14:textId="77777777" w:rsidR="00D843F2" w:rsidRDefault="00D843F2">
      <w:pPr>
        <w:spacing w:after="10"/>
        <w:ind w:left="-3"/>
        <w:rPr>
          <w:rFonts w:asciiTheme="minorHAnsi" w:hAnsiTheme="minorHAnsi" w:cstheme="minorHAnsi"/>
        </w:rPr>
      </w:pPr>
    </w:p>
    <w:p w14:paraId="118BE43D" w14:textId="77777777" w:rsidR="0052546F" w:rsidRDefault="00DC0262" w:rsidP="007F0AFB">
      <w:pPr>
        <w:spacing w:after="10"/>
        <w:ind w:left="-3"/>
        <w:jc w:val="both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 xml:space="preserve">Die gesetzliche Pflegeversicherung übernimmt die Kosten für den pflegebedingten Aufwand, die Umlage Altenpflegeausbildung, Unterkunft und Verpflegung </w:t>
      </w:r>
      <w:r w:rsidR="00037879">
        <w:rPr>
          <w:rFonts w:asciiTheme="minorHAnsi" w:hAnsiTheme="minorHAnsi" w:cstheme="minorHAnsi"/>
        </w:rPr>
        <w:t xml:space="preserve">bis zu einem monatlichen Betrag </w:t>
      </w:r>
      <w:r w:rsidRPr="007D3D71">
        <w:rPr>
          <w:rFonts w:asciiTheme="minorHAnsi" w:hAnsiTheme="minorHAnsi" w:cstheme="minorHAnsi"/>
        </w:rPr>
        <w:t>von</w:t>
      </w:r>
    </w:p>
    <w:p w14:paraId="3EBFA20C" w14:textId="77777777" w:rsidR="00037879" w:rsidRPr="007D3D71" w:rsidRDefault="00037879">
      <w:pPr>
        <w:spacing w:after="10"/>
        <w:ind w:left="-3"/>
        <w:rPr>
          <w:rFonts w:asciiTheme="minorHAnsi" w:hAnsiTheme="minorHAnsi" w:cstheme="minorHAnsi"/>
        </w:rPr>
      </w:pPr>
    </w:p>
    <w:tbl>
      <w:tblPr>
        <w:tblStyle w:val="EinfacheTabelle1"/>
        <w:tblW w:w="9595" w:type="dxa"/>
        <w:tblBorders>
          <w:top w:val="single" w:sz="4" w:space="0" w:color="A1413F"/>
          <w:left w:val="single" w:sz="4" w:space="0" w:color="A1413F"/>
          <w:bottom w:val="single" w:sz="18" w:space="0" w:color="A1413F"/>
          <w:right w:val="single" w:sz="18" w:space="0" w:color="A1413F"/>
          <w:insideH w:val="single" w:sz="4" w:space="0" w:color="A1413F"/>
          <w:insideV w:val="single" w:sz="4" w:space="0" w:color="A1413F"/>
        </w:tblBorders>
        <w:tblLook w:val="04A0" w:firstRow="1" w:lastRow="0" w:firstColumn="1" w:lastColumn="0" w:noHBand="0" w:noVBand="1"/>
      </w:tblPr>
      <w:tblGrid>
        <w:gridCol w:w="1886"/>
        <w:gridCol w:w="1567"/>
        <w:gridCol w:w="2048"/>
        <w:gridCol w:w="2046"/>
        <w:gridCol w:w="2048"/>
      </w:tblGrid>
      <w:tr w:rsidR="00037879" w:rsidRPr="007D3D71" w14:paraId="0D4E2765" w14:textId="77777777" w:rsidTr="00BA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vAlign w:val="center"/>
          </w:tcPr>
          <w:p w14:paraId="58B86E70" w14:textId="77777777" w:rsidR="0052546F" w:rsidRPr="00E65BCD" w:rsidRDefault="0074593D" w:rsidP="009077F1">
            <w:pPr>
              <w:spacing w:before="60" w:after="6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C0262" w:rsidRPr="00037879">
              <w:rPr>
                <w:rFonts w:asciiTheme="minorHAnsi" w:hAnsiTheme="minorHAnsi" w:cstheme="minorHAnsi"/>
              </w:rPr>
              <w:t>Grad</w:t>
            </w:r>
            <w:r w:rsidR="00DC0262" w:rsidRPr="00E65BC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567" w:type="dxa"/>
            <w:vAlign w:val="center"/>
          </w:tcPr>
          <w:p w14:paraId="3671B4DA" w14:textId="77777777" w:rsidR="0052546F" w:rsidRPr="007D3D71" w:rsidRDefault="00DC0262" w:rsidP="009077F1">
            <w:pPr>
              <w:spacing w:before="60" w:after="6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Grad 2</w:t>
            </w:r>
          </w:p>
        </w:tc>
        <w:tc>
          <w:tcPr>
            <w:tcW w:w="2048" w:type="dxa"/>
            <w:vAlign w:val="center"/>
          </w:tcPr>
          <w:p w14:paraId="4333D3D4" w14:textId="77777777" w:rsidR="0052546F" w:rsidRPr="007D3D71" w:rsidRDefault="00DC0262" w:rsidP="009077F1">
            <w:pPr>
              <w:spacing w:before="60" w:after="60" w:line="259" w:lineRule="auto"/>
              <w:ind w:left="18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Grad 3</w:t>
            </w:r>
          </w:p>
        </w:tc>
        <w:tc>
          <w:tcPr>
            <w:tcW w:w="2046" w:type="dxa"/>
            <w:vAlign w:val="center"/>
          </w:tcPr>
          <w:p w14:paraId="3652548B" w14:textId="77777777" w:rsidR="0052546F" w:rsidRPr="007D3D71" w:rsidRDefault="00DC0262" w:rsidP="009077F1">
            <w:pPr>
              <w:spacing w:before="60" w:after="60" w:line="259" w:lineRule="auto"/>
              <w:ind w:left="18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Grad 4</w:t>
            </w:r>
          </w:p>
        </w:tc>
        <w:tc>
          <w:tcPr>
            <w:tcW w:w="2048" w:type="dxa"/>
            <w:vAlign w:val="center"/>
          </w:tcPr>
          <w:p w14:paraId="0F821AE3" w14:textId="77777777" w:rsidR="0052546F" w:rsidRPr="007D3D71" w:rsidRDefault="00DC0262" w:rsidP="009077F1">
            <w:pPr>
              <w:spacing w:before="60" w:after="60" w:line="259" w:lineRule="auto"/>
              <w:ind w:left="18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Grad 5</w:t>
            </w:r>
          </w:p>
        </w:tc>
      </w:tr>
      <w:tr w:rsidR="00037879" w:rsidRPr="007D3D71" w14:paraId="77FC6B87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vAlign w:val="center"/>
          </w:tcPr>
          <w:p w14:paraId="0A4A18A0" w14:textId="6257376B" w:rsidR="0052546F" w:rsidRPr="00CE30E5" w:rsidRDefault="00DC0262" w:rsidP="009077F1">
            <w:pPr>
              <w:spacing w:before="60" w:after="60" w:line="259" w:lineRule="auto"/>
              <w:ind w:left="178" w:firstLine="0"/>
              <w:jc w:val="center"/>
              <w:rPr>
                <w:rFonts w:asciiTheme="minorHAnsi" w:hAnsiTheme="minorHAnsi" w:cstheme="minorHAnsi"/>
                <w:b w:val="0"/>
              </w:rPr>
            </w:pPr>
            <w:r w:rsidRPr="00CE30E5">
              <w:rPr>
                <w:rFonts w:asciiTheme="minorHAnsi" w:hAnsiTheme="minorHAnsi" w:cstheme="minorHAnsi"/>
                <w:b w:val="0"/>
              </w:rPr>
              <w:t>1</w:t>
            </w:r>
            <w:r w:rsidR="00710346">
              <w:rPr>
                <w:rFonts w:asciiTheme="minorHAnsi" w:hAnsiTheme="minorHAnsi" w:cstheme="minorHAnsi"/>
                <w:b w:val="0"/>
              </w:rPr>
              <w:t>31</w:t>
            </w:r>
            <w:r w:rsidRPr="00CE30E5">
              <w:rPr>
                <w:rFonts w:asciiTheme="minorHAnsi" w:hAnsiTheme="minorHAnsi" w:cstheme="minorHAnsi"/>
                <w:b w:val="0"/>
              </w:rPr>
              <w:t>,00</w:t>
            </w:r>
          </w:p>
        </w:tc>
        <w:tc>
          <w:tcPr>
            <w:tcW w:w="1567" w:type="dxa"/>
            <w:vAlign w:val="center"/>
          </w:tcPr>
          <w:p w14:paraId="579F57D0" w14:textId="447000B7" w:rsidR="0052546F" w:rsidRPr="007D3D71" w:rsidRDefault="00710346" w:rsidP="009077F1">
            <w:pPr>
              <w:spacing w:before="60" w:after="60" w:line="259" w:lineRule="auto"/>
              <w:ind w:left="0" w:right="8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805,00</w:t>
            </w:r>
          </w:p>
        </w:tc>
        <w:tc>
          <w:tcPr>
            <w:tcW w:w="2048" w:type="dxa"/>
            <w:vAlign w:val="center"/>
          </w:tcPr>
          <w:p w14:paraId="16F8AE6A" w14:textId="23D16AC7" w:rsidR="0052546F" w:rsidRPr="007D3D71" w:rsidRDefault="00710346" w:rsidP="00390137">
            <w:pPr>
              <w:spacing w:before="60" w:after="60" w:line="259" w:lineRule="auto"/>
              <w:ind w:left="0" w:right="8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1.319,00</w:t>
            </w:r>
          </w:p>
        </w:tc>
        <w:tc>
          <w:tcPr>
            <w:tcW w:w="2046" w:type="dxa"/>
            <w:vAlign w:val="center"/>
          </w:tcPr>
          <w:p w14:paraId="5D47E8E8" w14:textId="1AD7C2C6" w:rsidR="0052546F" w:rsidRPr="007D3D71" w:rsidRDefault="0074593D" w:rsidP="009077F1">
            <w:pPr>
              <w:spacing w:before="60" w:after="60" w:line="259" w:lineRule="auto"/>
              <w:ind w:left="0" w:right="86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DC0262" w:rsidRPr="007D3D71">
              <w:rPr>
                <w:rFonts w:asciiTheme="minorHAnsi" w:hAnsiTheme="minorHAnsi" w:cstheme="minorHAnsi"/>
              </w:rPr>
              <w:t>1.</w:t>
            </w:r>
            <w:r w:rsidR="00710346">
              <w:rPr>
                <w:rFonts w:asciiTheme="minorHAnsi" w:hAnsiTheme="minorHAnsi" w:cstheme="minorHAnsi"/>
              </w:rPr>
              <w:t>855,00</w:t>
            </w:r>
          </w:p>
        </w:tc>
        <w:tc>
          <w:tcPr>
            <w:tcW w:w="2048" w:type="dxa"/>
            <w:vAlign w:val="center"/>
          </w:tcPr>
          <w:p w14:paraId="2ABEE24D" w14:textId="301D9C50" w:rsidR="0052546F" w:rsidRPr="007D3D71" w:rsidRDefault="0074593D" w:rsidP="009077F1">
            <w:pPr>
              <w:spacing w:before="60" w:after="60" w:line="259" w:lineRule="auto"/>
              <w:ind w:left="0" w:right="87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DC0262" w:rsidRPr="007D3D71">
              <w:rPr>
                <w:rFonts w:asciiTheme="minorHAnsi" w:hAnsiTheme="minorHAnsi" w:cstheme="minorHAnsi"/>
              </w:rPr>
              <w:t>2.0</w:t>
            </w:r>
            <w:r w:rsidR="00710346">
              <w:rPr>
                <w:rFonts w:asciiTheme="minorHAnsi" w:hAnsiTheme="minorHAnsi" w:cstheme="minorHAnsi"/>
              </w:rPr>
              <w:t>9</w:t>
            </w:r>
            <w:r w:rsidR="00B656E3">
              <w:rPr>
                <w:rFonts w:asciiTheme="minorHAnsi" w:hAnsiTheme="minorHAnsi" w:cstheme="minorHAnsi"/>
              </w:rPr>
              <w:t>6</w:t>
            </w:r>
            <w:r w:rsidR="00DC0262" w:rsidRPr="007D3D71">
              <w:rPr>
                <w:rFonts w:asciiTheme="minorHAnsi" w:hAnsiTheme="minorHAnsi" w:cstheme="minorHAnsi"/>
              </w:rPr>
              <w:t>,00</w:t>
            </w:r>
          </w:p>
        </w:tc>
      </w:tr>
    </w:tbl>
    <w:p w14:paraId="29B605CB" w14:textId="77777777" w:rsidR="00D843F2" w:rsidRDefault="00D843F2">
      <w:pPr>
        <w:ind w:left="-3"/>
        <w:rPr>
          <w:rFonts w:asciiTheme="minorHAnsi" w:hAnsiTheme="minorHAnsi" w:cstheme="minorHAnsi"/>
        </w:rPr>
      </w:pPr>
    </w:p>
    <w:p w14:paraId="4708F804" w14:textId="77777777" w:rsidR="007F0AFB" w:rsidRDefault="007F0AFB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1F7EEE" w14:textId="77777777" w:rsidR="0052546F" w:rsidRPr="007D3D71" w:rsidRDefault="00DC0262" w:rsidP="007F0AFB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lastRenderedPageBreak/>
        <w:t xml:space="preserve">Die Abrechnung erfolgt je Belegungstag, dabei werden volle Monate mit 30,42 Tage abgerechnet. Bei Abwesenheiten wie Krankheit oder Urlaub werden ab dem 4. Tag ein Abzug von 25% des jeweiligen </w:t>
      </w:r>
      <w:r w:rsidR="008D700C" w:rsidRPr="007D3D71">
        <w:rPr>
          <w:rFonts w:asciiTheme="minorHAnsi" w:hAnsiTheme="minorHAnsi" w:cstheme="minorHAnsi"/>
        </w:rPr>
        <w:t>Tagessatzes</w:t>
      </w:r>
      <w:r w:rsidRPr="007D3D71">
        <w:rPr>
          <w:rFonts w:asciiTheme="minorHAnsi" w:hAnsiTheme="minorHAnsi" w:cstheme="minorHAnsi"/>
        </w:rPr>
        <w:t>, mit Ausnahme der Investitionskosten, vorgenommen.</w:t>
      </w:r>
    </w:p>
    <w:p w14:paraId="370209CD" w14:textId="77777777" w:rsidR="0052546F" w:rsidRDefault="00DC0262" w:rsidP="00010E0B">
      <w:pPr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>Bei aussc</w:t>
      </w:r>
      <w:r w:rsidR="008D700C">
        <w:rPr>
          <w:rFonts w:asciiTheme="minorHAnsi" w:hAnsiTheme="minorHAnsi" w:cstheme="minorHAnsi"/>
        </w:rPr>
        <w:t>hließlicher Ernährung mit Sonder</w:t>
      </w:r>
      <w:r w:rsidRPr="007D3D71">
        <w:rPr>
          <w:rFonts w:asciiTheme="minorHAnsi" w:hAnsiTheme="minorHAnsi" w:cstheme="minorHAnsi"/>
        </w:rPr>
        <w:t>kost verringert sich der Tagessatz für Verpflegung um ein Drittel.</w:t>
      </w:r>
      <w:r w:rsidR="00A92348" w:rsidRPr="007D3D71">
        <w:rPr>
          <w:rFonts w:asciiTheme="minorHAnsi" w:hAnsiTheme="minorHAnsi" w:cstheme="minorHAnsi"/>
        </w:rPr>
        <w:t xml:space="preserve"> </w:t>
      </w:r>
      <w:r w:rsidRPr="007D3D71">
        <w:rPr>
          <w:rFonts w:asciiTheme="minorHAnsi" w:hAnsiTheme="minorHAnsi" w:cstheme="minorHAnsi"/>
        </w:rPr>
        <w:t>Zur Deckung der Kosten besteht unter bestimmten Umständen Anspruch auf Pflegewoh</w:t>
      </w:r>
      <w:r w:rsidR="00C03851">
        <w:rPr>
          <w:rFonts w:asciiTheme="minorHAnsi" w:hAnsiTheme="minorHAnsi" w:cstheme="minorHAnsi"/>
        </w:rPr>
        <w:t>ngeld oder auch auf Sozialhil</w:t>
      </w:r>
      <w:r w:rsidR="00BE52A9">
        <w:rPr>
          <w:rFonts w:asciiTheme="minorHAnsi" w:hAnsiTheme="minorHAnsi" w:cstheme="minorHAnsi"/>
        </w:rPr>
        <w:t>fe.</w:t>
      </w:r>
    </w:p>
    <w:p w14:paraId="643EDA9B" w14:textId="77777777" w:rsidR="007F0AFB" w:rsidRPr="00DF4195" w:rsidRDefault="007F0AFB" w:rsidP="00010E0B">
      <w:pPr>
        <w:spacing w:after="0" w:line="240" w:lineRule="auto"/>
        <w:ind w:left="0" w:right="2268" w:firstLine="0"/>
        <w:rPr>
          <w:rFonts w:asciiTheme="minorHAnsi" w:hAnsiTheme="minorHAnsi" w:cstheme="minorHAnsi"/>
          <w:b/>
          <w:i/>
          <w:color w:val="A1413F"/>
          <w:sz w:val="32"/>
        </w:rPr>
      </w:pPr>
    </w:p>
    <w:p w14:paraId="5A55640B" w14:textId="77777777" w:rsidR="0052546F" w:rsidRPr="00A92348" w:rsidRDefault="00DC0262" w:rsidP="00DF4195">
      <w:pPr>
        <w:spacing w:after="275" w:line="240" w:lineRule="auto"/>
        <w:ind w:left="17" w:right="25"/>
        <w:rPr>
          <w:rFonts w:asciiTheme="minorHAnsi" w:hAnsiTheme="minorHAnsi" w:cstheme="minorHAnsi"/>
          <w:i/>
          <w:color w:val="A1413F"/>
        </w:rPr>
      </w:pPr>
      <w:r w:rsidRPr="00A92348">
        <w:rPr>
          <w:rFonts w:asciiTheme="minorHAnsi" w:hAnsiTheme="minorHAnsi" w:cstheme="minorHAnsi"/>
          <w:b/>
          <w:i/>
          <w:color w:val="A1413F"/>
          <w:sz w:val="36"/>
        </w:rPr>
        <w:t>Übersicht der Heimkosten je Pflegegr</w:t>
      </w:r>
      <w:r w:rsidR="004131E3">
        <w:rPr>
          <w:rFonts w:asciiTheme="minorHAnsi" w:hAnsiTheme="minorHAnsi" w:cstheme="minorHAnsi"/>
          <w:b/>
          <w:i/>
          <w:color w:val="A1413F"/>
          <w:sz w:val="36"/>
        </w:rPr>
        <w:t xml:space="preserve">ad für </w:t>
      </w:r>
      <w:r w:rsidR="00CC0A67">
        <w:rPr>
          <w:rFonts w:asciiTheme="minorHAnsi" w:hAnsiTheme="minorHAnsi" w:cstheme="minorHAnsi"/>
          <w:b/>
          <w:i/>
          <w:color w:val="A1413F"/>
          <w:sz w:val="36"/>
        </w:rPr>
        <w:t>e</w:t>
      </w:r>
      <w:r w:rsidRPr="00A92348">
        <w:rPr>
          <w:rFonts w:asciiTheme="minorHAnsi" w:hAnsiTheme="minorHAnsi" w:cstheme="minorHAnsi"/>
          <w:b/>
          <w:i/>
          <w:color w:val="A1413F"/>
          <w:sz w:val="36"/>
        </w:rPr>
        <w:t>inen vollen Monat</w:t>
      </w:r>
      <w:r w:rsidR="00B53D15">
        <w:rPr>
          <w:rFonts w:asciiTheme="minorHAnsi" w:hAnsiTheme="minorHAnsi" w:cstheme="minorHAnsi"/>
          <w:b/>
          <w:i/>
          <w:color w:val="A1413F"/>
          <w:sz w:val="36"/>
        </w:rPr>
        <w:t>:</w:t>
      </w:r>
    </w:p>
    <w:tbl>
      <w:tblPr>
        <w:tblStyle w:val="EinfacheTabelle1"/>
        <w:tblW w:w="9596" w:type="dxa"/>
        <w:tblBorders>
          <w:top w:val="single" w:sz="4" w:space="0" w:color="A1413F"/>
          <w:left w:val="single" w:sz="4" w:space="0" w:color="A1413F"/>
          <w:bottom w:val="single" w:sz="18" w:space="0" w:color="A1413F"/>
          <w:right w:val="single" w:sz="18" w:space="0" w:color="A1413F"/>
          <w:insideH w:val="single" w:sz="4" w:space="0" w:color="A1413F"/>
          <w:insideV w:val="single" w:sz="4" w:space="0" w:color="A1413F"/>
        </w:tblBorders>
        <w:tblLook w:val="04A0" w:firstRow="1" w:lastRow="0" w:firstColumn="1" w:lastColumn="0" w:noHBand="0" w:noVBand="1"/>
      </w:tblPr>
      <w:tblGrid>
        <w:gridCol w:w="2921"/>
        <w:gridCol w:w="1335"/>
        <w:gridCol w:w="1335"/>
        <w:gridCol w:w="1335"/>
        <w:gridCol w:w="1335"/>
        <w:gridCol w:w="1335"/>
      </w:tblGrid>
      <w:tr w:rsidR="00A92348" w:rsidRPr="007D3D71" w14:paraId="1692E07F" w14:textId="77777777" w:rsidTr="00DF4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18EBDDE1" w14:textId="77777777" w:rsidR="0052546F" w:rsidRPr="007D3D71" w:rsidRDefault="00DC0262" w:rsidP="009077F1">
            <w:pPr>
              <w:spacing w:before="60" w:after="6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Pflegegrad</w:t>
            </w:r>
          </w:p>
        </w:tc>
        <w:tc>
          <w:tcPr>
            <w:tcW w:w="1335" w:type="dxa"/>
          </w:tcPr>
          <w:p w14:paraId="2BABB916" w14:textId="77777777" w:rsidR="0052546F" w:rsidRPr="007D3D71" w:rsidRDefault="00DC0262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35" w:type="dxa"/>
          </w:tcPr>
          <w:p w14:paraId="75E84B3E" w14:textId="77777777" w:rsidR="0052546F" w:rsidRPr="007D3D71" w:rsidRDefault="00DC0262" w:rsidP="009077F1">
            <w:pPr>
              <w:spacing w:before="60" w:after="60" w:line="259" w:lineRule="auto"/>
              <w:ind w:left="0" w:right="16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5" w:type="dxa"/>
          </w:tcPr>
          <w:p w14:paraId="6B9B89F3" w14:textId="77777777" w:rsidR="0052546F" w:rsidRPr="007D3D71" w:rsidRDefault="00DC0262" w:rsidP="009077F1">
            <w:pPr>
              <w:spacing w:before="60" w:after="60" w:line="259" w:lineRule="auto"/>
              <w:ind w:left="0" w:right="1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35" w:type="dxa"/>
          </w:tcPr>
          <w:p w14:paraId="49081601" w14:textId="77777777" w:rsidR="0052546F" w:rsidRPr="007D3D71" w:rsidRDefault="00DC0262" w:rsidP="009077F1">
            <w:pPr>
              <w:spacing w:before="60" w:after="60" w:line="259" w:lineRule="auto"/>
              <w:ind w:left="0" w:right="1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35" w:type="dxa"/>
          </w:tcPr>
          <w:p w14:paraId="5640FF66" w14:textId="77777777" w:rsidR="0052546F" w:rsidRPr="007D3D71" w:rsidRDefault="00DC0262" w:rsidP="00B01636">
            <w:pPr>
              <w:spacing w:before="60" w:after="60" w:line="259" w:lineRule="auto"/>
              <w:ind w:left="0" w:right="1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5</w:t>
            </w:r>
          </w:p>
        </w:tc>
      </w:tr>
      <w:tr w:rsidR="00A92348" w:rsidRPr="007D3D71" w14:paraId="389AEFD6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1BBB25F5" w14:textId="77777777" w:rsidR="0052546F" w:rsidRPr="007D3D71" w:rsidRDefault="00DC0262" w:rsidP="009077F1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pflegebedingter Aufwand</w:t>
            </w:r>
          </w:p>
        </w:tc>
        <w:tc>
          <w:tcPr>
            <w:tcW w:w="1335" w:type="dxa"/>
          </w:tcPr>
          <w:p w14:paraId="75ABD5DB" w14:textId="36DC8C6D" w:rsidR="0052546F" w:rsidRPr="007D3D71" w:rsidRDefault="007D2DE1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2.130,31</w:t>
            </w:r>
          </w:p>
        </w:tc>
        <w:tc>
          <w:tcPr>
            <w:tcW w:w="1335" w:type="dxa"/>
          </w:tcPr>
          <w:p w14:paraId="5C38390E" w14:textId="653DE30A" w:rsidR="0052546F" w:rsidRPr="007D3D71" w:rsidRDefault="007D2DE1" w:rsidP="004F152C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2.731,11</w:t>
            </w:r>
          </w:p>
        </w:tc>
        <w:tc>
          <w:tcPr>
            <w:tcW w:w="1335" w:type="dxa"/>
          </w:tcPr>
          <w:p w14:paraId="73F1A9B8" w14:textId="03AEE8AC" w:rsidR="0052546F" w:rsidRPr="007D3D71" w:rsidRDefault="007D2DE1" w:rsidP="003B0B21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3.245,21</w:t>
            </w:r>
          </w:p>
        </w:tc>
        <w:tc>
          <w:tcPr>
            <w:tcW w:w="1335" w:type="dxa"/>
          </w:tcPr>
          <w:p w14:paraId="1908FDAB" w14:textId="49DB821A" w:rsidR="0052546F" w:rsidRPr="007D3D71" w:rsidRDefault="007D2DE1" w:rsidP="003B0B21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3.781,21</w:t>
            </w:r>
          </w:p>
        </w:tc>
        <w:tc>
          <w:tcPr>
            <w:tcW w:w="1335" w:type="dxa"/>
          </w:tcPr>
          <w:p w14:paraId="08F84C7C" w14:textId="539A88AB" w:rsidR="0052546F" w:rsidRPr="007D3D71" w:rsidRDefault="007D2DE1" w:rsidP="003B0B21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4.022,13</w:t>
            </w:r>
          </w:p>
        </w:tc>
      </w:tr>
      <w:tr w:rsidR="004E3FE9" w:rsidRPr="007D3D71" w14:paraId="5E96523B" w14:textId="77777777" w:rsidTr="00DF4195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31ED8210" w14:textId="77777777" w:rsidR="004E3FE9" w:rsidRPr="007D3D71" w:rsidRDefault="004E3FE9" w:rsidP="004E3FE9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 xml:space="preserve">Umlage </w:t>
            </w:r>
            <w:r>
              <w:rPr>
                <w:rFonts w:asciiTheme="minorHAnsi" w:hAnsiTheme="minorHAnsi" w:cstheme="minorHAnsi"/>
              </w:rPr>
              <w:t>P</w:t>
            </w:r>
            <w:r w:rsidRPr="007D3D71">
              <w:rPr>
                <w:rFonts w:asciiTheme="minorHAnsi" w:hAnsiTheme="minorHAnsi" w:cstheme="minorHAnsi"/>
              </w:rPr>
              <w:t>flegeausbildung</w:t>
            </w:r>
          </w:p>
        </w:tc>
        <w:tc>
          <w:tcPr>
            <w:tcW w:w="1335" w:type="dxa"/>
          </w:tcPr>
          <w:p w14:paraId="7FA36617" w14:textId="724547B7" w:rsidR="004E3FE9" w:rsidRPr="004E3FE9" w:rsidRDefault="001B6A60" w:rsidP="004E3FE9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172,79</w:t>
            </w:r>
          </w:p>
        </w:tc>
        <w:tc>
          <w:tcPr>
            <w:tcW w:w="1335" w:type="dxa"/>
          </w:tcPr>
          <w:p w14:paraId="3A908F18" w14:textId="1389AF51" w:rsidR="004E3FE9" w:rsidRPr="004E3FE9" w:rsidRDefault="001B6A60" w:rsidP="004E3FE9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172,79</w:t>
            </w:r>
          </w:p>
        </w:tc>
        <w:tc>
          <w:tcPr>
            <w:tcW w:w="1335" w:type="dxa"/>
          </w:tcPr>
          <w:p w14:paraId="56CE669B" w14:textId="5B046F5D" w:rsidR="004E3FE9" w:rsidRPr="004E3FE9" w:rsidRDefault="001B6A60" w:rsidP="004E3FE9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172,79</w:t>
            </w:r>
          </w:p>
        </w:tc>
        <w:tc>
          <w:tcPr>
            <w:tcW w:w="1335" w:type="dxa"/>
          </w:tcPr>
          <w:p w14:paraId="47432ECF" w14:textId="122F5949" w:rsidR="004E3FE9" w:rsidRPr="004E3FE9" w:rsidRDefault="001B6A60" w:rsidP="004E3FE9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172,79</w:t>
            </w:r>
          </w:p>
        </w:tc>
        <w:tc>
          <w:tcPr>
            <w:tcW w:w="1335" w:type="dxa"/>
          </w:tcPr>
          <w:p w14:paraId="7767A79E" w14:textId="5DFF37D3" w:rsidR="004E3FE9" w:rsidRPr="004E3FE9" w:rsidRDefault="001B6A60" w:rsidP="004E3FE9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172,79</w:t>
            </w:r>
          </w:p>
        </w:tc>
      </w:tr>
      <w:tr w:rsidR="002907F4" w:rsidRPr="007D3D71" w14:paraId="0294EDC2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47DD88C2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18D466D3" w14:textId="0B240A28" w:rsidR="002907F4" w:rsidRPr="004F152C" w:rsidRDefault="001B6A60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2.303,10</w:t>
            </w:r>
          </w:p>
        </w:tc>
        <w:tc>
          <w:tcPr>
            <w:tcW w:w="1335" w:type="dxa"/>
          </w:tcPr>
          <w:p w14:paraId="27797928" w14:textId="3F93D68B" w:rsidR="002907F4" w:rsidRPr="004F152C" w:rsidRDefault="001B6A60" w:rsidP="004F152C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2.903,90</w:t>
            </w:r>
          </w:p>
        </w:tc>
        <w:tc>
          <w:tcPr>
            <w:tcW w:w="1335" w:type="dxa"/>
          </w:tcPr>
          <w:p w14:paraId="7A29B876" w14:textId="3A9340BF" w:rsidR="002907F4" w:rsidRPr="004F152C" w:rsidRDefault="001B6A60" w:rsidP="004F152C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3.418,00</w:t>
            </w:r>
          </w:p>
        </w:tc>
        <w:tc>
          <w:tcPr>
            <w:tcW w:w="1335" w:type="dxa"/>
          </w:tcPr>
          <w:p w14:paraId="2D968B44" w14:textId="1917FEA4" w:rsidR="002907F4" w:rsidRPr="004F152C" w:rsidRDefault="001B6A60" w:rsidP="004F152C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3.954,00</w:t>
            </w:r>
          </w:p>
        </w:tc>
        <w:tc>
          <w:tcPr>
            <w:tcW w:w="1335" w:type="dxa"/>
          </w:tcPr>
          <w:p w14:paraId="0369880C" w14:textId="24DA5693" w:rsidR="002907F4" w:rsidRPr="004F152C" w:rsidRDefault="001B6A60" w:rsidP="004F152C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4.194,92</w:t>
            </w:r>
          </w:p>
        </w:tc>
      </w:tr>
      <w:tr w:rsidR="002907F4" w:rsidRPr="007D3D71" w14:paraId="58037F92" w14:textId="77777777" w:rsidTr="00DF4195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2671E433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Pflegekassena</w:t>
            </w:r>
            <w:r>
              <w:rPr>
                <w:rFonts w:asciiTheme="minorHAnsi" w:hAnsiTheme="minorHAnsi" w:cstheme="minorHAnsi"/>
              </w:rPr>
              <w:t>n</w:t>
            </w:r>
            <w:r w:rsidRPr="007D3D71">
              <w:rPr>
                <w:rFonts w:asciiTheme="minorHAnsi" w:hAnsiTheme="minorHAnsi" w:cstheme="minorHAnsi"/>
              </w:rPr>
              <w:t>teil</w:t>
            </w:r>
          </w:p>
        </w:tc>
        <w:tc>
          <w:tcPr>
            <w:tcW w:w="1335" w:type="dxa"/>
          </w:tcPr>
          <w:p w14:paraId="7A4C3F42" w14:textId="6563250D" w:rsidR="002907F4" w:rsidRPr="007D3D71" w:rsidRDefault="002907F4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-1</w:t>
            </w:r>
            <w:r w:rsidR="00F525AB">
              <w:rPr>
                <w:rFonts w:asciiTheme="minorHAnsi" w:hAnsiTheme="minorHAnsi" w:cstheme="minorHAnsi"/>
              </w:rPr>
              <w:t>31</w:t>
            </w:r>
            <w:r w:rsidRPr="007D3D71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335" w:type="dxa"/>
          </w:tcPr>
          <w:p w14:paraId="5A23C9CD" w14:textId="0B11C6C8" w:rsidR="002907F4" w:rsidRPr="007D3D71" w:rsidRDefault="00F525AB" w:rsidP="002907F4">
            <w:pPr>
              <w:spacing w:before="60" w:after="60" w:line="259" w:lineRule="auto"/>
              <w:ind w:left="151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-805,00</w:t>
            </w:r>
          </w:p>
        </w:tc>
        <w:tc>
          <w:tcPr>
            <w:tcW w:w="1335" w:type="dxa"/>
          </w:tcPr>
          <w:p w14:paraId="2A019D02" w14:textId="52927959" w:rsidR="002907F4" w:rsidRPr="007D3D71" w:rsidRDefault="00F525AB" w:rsidP="002907F4">
            <w:pPr>
              <w:spacing w:before="60" w:after="60" w:line="259" w:lineRule="auto"/>
              <w:ind w:left="0" w:right="27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-1.319,00</w:t>
            </w:r>
          </w:p>
        </w:tc>
        <w:tc>
          <w:tcPr>
            <w:tcW w:w="1335" w:type="dxa"/>
          </w:tcPr>
          <w:p w14:paraId="1AF11FE8" w14:textId="59CBAAD5" w:rsidR="002907F4" w:rsidRPr="007D3D71" w:rsidRDefault="00F525AB" w:rsidP="002907F4">
            <w:pPr>
              <w:spacing w:before="60" w:after="60" w:line="259" w:lineRule="auto"/>
              <w:ind w:left="0" w:right="26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-1.855,00</w:t>
            </w:r>
          </w:p>
        </w:tc>
        <w:tc>
          <w:tcPr>
            <w:tcW w:w="1335" w:type="dxa"/>
          </w:tcPr>
          <w:p w14:paraId="2F61DA61" w14:textId="5AD199EC" w:rsidR="00F525AB" w:rsidRPr="007D3D71" w:rsidRDefault="00F525AB" w:rsidP="00F525AB">
            <w:pPr>
              <w:spacing w:before="60" w:after="60" w:line="259" w:lineRule="auto"/>
              <w:ind w:left="0" w:right="27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-2.09</w:t>
            </w:r>
            <w:r w:rsidR="008A10CA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,00</w:t>
            </w:r>
          </w:p>
        </w:tc>
      </w:tr>
      <w:tr w:rsidR="002907F4" w:rsidRPr="007D3D71" w14:paraId="44A9B71E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1941F70F" w14:textId="5715B925" w:rsidR="002907F4" w:rsidRPr="004131E3" w:rsidRDefault="00497B24" w:rsidP="002907F4">
            <w:pPr>
              <w:spacing w:before="60" w:after="60" w:line="259" w:lineRule="auto"/>
              <w:ind w:left="2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Eigenanteil Pflege</w:t>
            </w:r>
          </w:p>
        </w:tc>
        <w:tc>
          <w:tcPr>
            <w:tcW w:w="1335" w:type="dxa"/>
          </w:tcPr>
          <w:p w14:paraId="12AFA6F6" w14:textId="46272AB7" w:rsidR="002907F4" w:rsidRPr="007D3D71" w:rsidRDefault="001B6A60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2.172,10</w:t>
            </w:r>
          </w:p>
        </w:tc>
        <w:tc>
          <w:tcPr>
            <w:tcW w:w="1335" w:type="dxa"/>
          </w:tcPr>
          <w:p w14:paraId="77A4DACB" w14:textId="7BD7818F" w:rsidR="002907F4" w:rsidRPr="007D3D71" w:rsidRDefault="001B6A60" w:rsidP="002907F4">
            <w:pPr>
              <w:spacing w:before="60" w:after="60" w:line="259" w:lineRule="auto"/>
              <w:ind w:left="16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2.098,90</w:t>
            </w:r>
          </w:p>
        </w:tc>
        <w:tc>
          <w:tcPr>
            <w:tcW w:w="1335" w:type="dxa"/>
          </w:tcPr>
          <w:p w14:paraId="0A6A9D21" w14:textId="2D8CFC51" w:rsidR="002907F4" w:rsidRPr="007D3D71" w:rsidRDefault="001B6A60" w:rsidP="002907F4">
            <w:pPr>
              <w:spacing w:before="60" w:after="60" w:line="259" w:lineRule="auto"/>
              <w:ind w:left="16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2.099,00</w:t>
            </w:r>
          </w:p>
        </w:tc>
        <w:tc>
          <w:tcPr>
            <w:tcW w:w="1335" w:type="dxa"/>
          </w:tcPr>
          <w:p w14:paraId="371AA65F" w14:textId="12F1BEAA" w:rsidR="00236350" w:rsidRPr="00236350" w:rsidRDefault="001B6A60" w:rsidP="00236350">
            <w:pPr>
              <w:spacing w:before="60" w:after="60" w:line="259" w:lineRule="auto"/>
              <w:ind w:left="161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2.099,00</w:t>
            </w:r>
          </w:p>
        </w:tc>
        <w:tc>
          <w:tcPr>
            <w:tcW w:w="1335" w:type="dxa"/>
          </w:tcPr>
          <w:p w14:paraId="146D6ADF" w14:textId="11E553BA" w:rsidR="002907F4" w:rsidRPr="007D3D71" w:rsidRDefault="001B6A60" w:rsidP="002907F4">
            <w:pPr>
              <w:spacing w:before="60" w:after="60" w:line="259" w:lineRule="auto"/>
              <w:ind w:left="16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2.098,92</w:t>
            </w:r>
          </w:p>
        </w:tc>
      </w:tr>
      <w:tr w:rsidR="002907F4" w:rsidRPr="007D3D71" w14:paraId="245EE970" w14:textId="77777777" w:rsidTr="00DF4195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3DE2C607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3FD3C300" w14:textId="77777777" w:rsidR="002907F4" w:rsidRPr="007D3D71" w:rsidRDefault="002907F4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39ECA347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4640B12F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3ADA4279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6234F319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907F4" w:rsidRPr="007D3D71" w14:paraId="7825FCC7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682E41FB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Unterkunft</w:t>
            </w:r>
          </w:p>
        </w:tc>
        <w:tc>
          <w:tcPr>
            <w:tcW w:w="1335" w:type="dxa"/>
          </w:tcPr>
          <w:p w14:paraId="51A62149" w14:textId="1BC806B2" w:rsidR="002907F4" w:rsidRPr="007D3D71" w:rsidRDefault="004D00FD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739,21</w:t>
            </w:r>
          </w:p>
        </w:tc>
        <w:tc>
          <w:tcPr>
            <w:tcW w:w="1335" w:type="dxa"/>
          </w:tcPr>
          <w:p w14:paraId="6D57C4F5" w14:textId="1C192887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739,21</w:t>
            </w:r>
          </w:p>
        </w:tc>
        <w:tc>
          <w:tcPr>
            <w:tcW w:w="1335" w:type="dxa"/>
          </w:tcPr>
          <w:p w14:paraId="5B2BEA3B" w14:textId="488D6C8F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739,21</w:t>
            </w:r>
          </w:p>
        </w:tc>
        <w:tc>
          <w:tcPr>
            <w:tcW w:w="1335" w:type="dxa"/>
          </w:tcPr>
          <w:p w14:paraId="3EC5C3C2" w14:textId="6EC5FAD0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739,21</w:t>
            </w:r>
          </w:p>
        </w:tc>
        <w:tc>
          <w:tcPr>
            <w:tcW w:w="1335" w:type="dxa"/>
          </w:tcPr>
          <w:p w14:paraId="43F3B9A6" w14:textId="176CA04C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739,21</w:t>
            </w:r>
          </w:p>
        </w:tc>
      </w:tr>
      <w:tr w:rsidR="002907F4" w:rsidRPr="007D3D71" w14:paraId="483762A2" w14:textId="77777777" w:rsidTr="00DF4195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645F5893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Verpflegung</w:t>
            </w:r>
          </w:p>
        </w:tc>
        <w:tc>
          <w:tcPr>
            <w:tcW w:w="1335" w:type="dxa"/>
          </w:tcPr>
          <w:p w14:paraId="38D5EA07" w14:textId="65DE0C02" w:rsidR="002907F4" w:rsidRPr="007D3D71" w:rsidRDefault="004D00FD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569,16</w:t>
            </w:r>
          </w:p>
        </w:tc>
        <w:tc>
          <w:tcPr>
            <w:tcW w:w="1335" w:type="dxa"/>
          </w:tcPr>
          <w:p w14:paraId="017FD43B" w14:textId="315DAECC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569,16</w:t>
            </w:r>
          </w:p>
        </w:tc>
        <w:tc>
          <w:tcPr>
            <w:tcW w:w="1335" w:type="dxa"/>
          </w:tcPr>
          <w:p w14:paraId="1FFD8C10" w14:textId="06756AD9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569,16</w:t>
            </w:r>
          </w:p>
        </w:tc>
        <w:tc>
          <w:tcPr>
            <w:tcW w:w="1335" w:type="dxa"/>
          </w:tcPr>
          <w:p w14:paraId="5CF3173B" w14:textId="2BB3A4DE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569,16</w:t>
            </w:r>
          </w:p>
        </w:tc>
        <w:tc>
          <w:tcPr>
            <w:tcW w:w="1335" w:type="dxa"/>
          </w:tcPr>
          <w:p w14:paraId="74CF1A78" w14:textId="169C8FA0" w:rsidR="002907F4" w:rsidRPr="007D3D71" w:rsidRDefault="004D00FD" w:rsidP="002907F4">
            <w:pPr>
              <w:spacing w:before="60" w:after="60" w:line="259" w:lineRule="auto"/>
              <w:ind w:left="420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569,16</w:t>
            </w:r>
          </w:p>
        </w:tc>
      </w:tr>
      <w:tr w:rsidR="002907F4" w:rsidRPr="007D3D71" w14:paraId="3967FDE8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0FCFB034" w14:textId="77777777" w:rsidR="002907F4" w:rsidRPr="007D3D71" w:rsidRDefault="002907F4" w:rsidP="002907F4">
            <w:pPr>
              <w:spacing w:before="60" w:after="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Investitionskosten</w:t>
            </w:r>
          </w:p>
        </w:tc>
        <w:tc>
          <w:tcPr>
            <w:tcW w:w="1335" w:type="dxa"/>
          </w:tcPr>
          <w:p w14:paraId="2DA77C14" w14:textId="7D1A9F97" w:rsidR="002907F4" w:rsidRPr="007D3D71" w:rsidRDefault="001B6A60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860,89</w:t>
            </w:r>
          </w:p>
        </w:tc>
        <w:tc>
          <w:tcPr>
            <w:tcW w:w="1335" w:type="dxa"/>
          </w:tcPr>
          <w:p w14:paraId="0D4FE628" w14:textId="6DAC9243" w:rsidR="002907F4" w:rsidRPr="007D3D71" w:rsidRDefault="001B6A60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860,89</w:t>
            </w:r>
          </w:p>
        </w:tc>
        <w:tc>
          <w:tcPr>
            <w:tcW w:w="1335" w:type="dxa"/>
          </w:tcPr>
          <w:p w14:paraId="4D3D4CAB" w14:textId="274CB320" w:rsidR="002907F4" w:rsidRPr="007D3D71" w:rsidRDefault="001B6A60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860,89</w:t>
            </w:r>
          </w:p>
        </w:tc>
        <w:tc>
          <w:tcPr>
            <w:tcW w:w="1335" w:type="dxa"/>
          </w:tcPr>
          <w:p w14:paraId="43B3288B" w14:textId="5483CB98" w:rsidR="002907F4" w:rsidRPr="007D3D71" w:rsidRDefault="001B6A60" w:rsidP="002907F4">
            <w:pPr>
              <w:spacing w:before="60" w:after="60" w:line="259" w:lineRule="auto"/>
              <w:ind w:left="42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860,89</w:t>
            </w:r>
          </w:p>
        </w:tc>
        <w:tc>
          <w:tcPr>
            <w:tcW w:w="1335" w:type="dxa"/>
          </w:tcPr>
          <w:p w14:paraId="4B272FF7" w14:textId="4BCF13A2" w:rsidR="002907F4" w:rsidRPr="007D3D71" w:rsidRDefault="001B6A60" w:rsidP="002907F4">
            <w:pPr>
              <w:spacing w:before="60" w:after="60" w:line="259" w:lineRule="auto"/>
              <w:ind w:left="0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860,89</w:t>
            </w:r>
          </w:p>
        </w:tc>
      </w:tr>
      <w:tr w:rsidR="002907F4" w:rsidRPr="007D3D71" w14:paraId="7E9A33B1" w14:textId="77777777" w:rsidTr="00DF4195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65848BB0" w14:textId="77777777" w:rsidR="002907F4" w:rsidRPr="007D3D71" w:rsidRDefault="00CA7AD2" w:rsidP="002907F4">
            <w:pPr>
              <w:spacing w:before="60" w:after="6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7D3D71">
              <w:rPr>
                <w:rFonts w:asciiTheme="minorHAnsi" w:hAnsiTheme="minorHAnsi" w:cstheme="minorHAnsi"/>
              </w:rPr>
              <w:t>Heimentgelt /</w:t>
            </w:r>
            <w:r w:rsidR="002907F4" w:rsidRPr="007D3D71">
              <w:rPr>
                <w:rFonts w:asciiTheme="minorHAnsi" w:hAnsiTheme="minorHAnsi" w:cstheme="minorHAnsi"/>
              </w:rPr>
              <w:t xml:space="preserve"> Monat</w:t>
            </w:r>
          </w:p>
        </w:tc>
        <w:tc>
          <w:tcPr>
            <w:tcW w:w="1335" w:type="dxa"/>
          </w:tcPr>
          <w:p w14:paraId="28EFDA0C" w14:textId="2DA5BB1C" w:rsidR="002907F4" w:rsidRPr="00F040E3" w:rsidRDefault="001B6A60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4.341,36</w:t>
            </w:r>
          </w:p>
        </w:tc>
        <w:tc>
          <w:tcPr>
            <w:tcW w:w="1335" w:type="dxa"/>
          </w:tcPr>
          <w:p w14:paraId="148CC28C" w14:textId="0B614167" w:rsidR="002907F4" w:rsidRPr="007D3D71" w:rsidRDefault="001B6A60" w:rsidP="002907F4">
            <w:pPr>
              <w:spacing w:before="60" w:after="60" w:line="259" w:lineRule="auto"/>
              <w:ind w:left="15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4.268,16</w:t>
            </w:r>
          </w:p>
        </w:tc>
        <w:tc>
          <w:tcPr>
            <w:tcW w:w="1335" w:type="dxa"/>
          </w:tcPr>
          <w:p w14:paraId="77103392" w14:textId="0D72BB44" w:rsidR="002907F4" w:rsidRPr="007D3D71" w:rsidRDefault="001B6A60" w:rsidP="002907F4">
            <w:pPr>
              <w:spacing w:before="60" w:after="60" w:line="259" w:lineRule="auto"/>
              <w:ind w:left="15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4.268,26</w:t>
            </w:r>
          </w:p>
        </w:tc>
        <w:tc>
          <w:tcPr>
            <w:tcW w:w="1335" w:type="dxa"/>
          </w:tcPr>
          <w:p w14:paraId="43976984" w14:textId="5B268829" w:rsidR="002907F4" w:rsidRPr="007D3D71" w:rsidRDefault="001B6A60" w:rsidP="002907F4">
            <w:pPr>
              <w:spacing w:before="60" w:after="60" w:line="259" w:lineRule="auto"/>
              <w:ind w:left="158"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4.268,26</w:t>
            </w:r>
          </w:p>
        </w:tc>
        <w:tc>
          <w:tcPr>
            <w:tcW w:w="1335" w:type="dxa"/>
          </w:tcPr>
          <w:p w14:paraId="22B7C200" w14:textId="18C26CE2" w:rsidR="002907F4" w:rsidRPr="007D3D71" w:rsidRDefault="001B6A60" w:rsidP="002907F4">
            <w:pPr>
              <w:spacing w:before="60" w:after="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4.268,18</w:t>
            </w:r>
          </w:p>
        </w:tc>
      </w:tr>
      <w:tr w:rsidR="002907F4" w:rsidRPr="007D3D71" w14:paraId="3CBD992E" w14:textId="77777777" w:rsidTr="00DF4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14:paraId="7CBE0841" w14:textId="77777777" w:rsidR="002907F4" w:rsidRPr="007D3D71" w:rsidRDefault="002907F4" w:rsidP="002907F4">
            <w:pPr>
              <w:spacing w:before="60" w:after="60" w:line="259" w:lineRule="auto"/>
              <w:ind w:left="2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</w:tcPr>
          <w:p w14:paraId="214FA8AA" w14:textId="77777777" w:rsidR="002907F4" w:rsidRDefault="002907F4" w:rsidP="002907F4">
            <w:pPr>
              <w:tabs>
                <w:tab w:val="decimal" w:pos="737"/>
              </w:tabs>
              <w:spacing w:before="60" w:after="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08064FC3" w14:textId="77777777" w:rsidR="002907F4" w:rsidRDefault="002907F4" w:rsidP="002907F4">
            <w:pPr>
              <w:spacing w:before="60" w:after="60" w:line="259" w:lineRule="auto"/>
              <w:ind w:left="15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752EA2AF" w14:textId="77777777" w:rsidR="002907F4" w:rsidRDefault="002907F4" w:rsidP="002907F4">
            <w:pPr>
              <w:spacing w:before="60" w:after="60" w:line="259" w:lineRule="auto"/>
              <w:ind w:left="15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19241248" w14:textId="77777777" w:rsidR="002907F4" w:rsidRDefault="002907F4" w:rsidP="002907F4">
            <w:pPr>
              <w:spacing w:before="60" w:after="60" w:line="259" w:lineRule="auto"/>
              <w:ind w:left="158"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5" w:type="dxa"/>
          </w:tcPr>
          <w:p w14:paraId="17DE0DA1" w14:textId="77777777" w:rsidR="002907F4" w:rsidRDefault="002907F4" w:rsidP="002907F4">
            <w:pPr>
              <w:spacing w:before="60" w:after="60"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4D34C29" w14:textId="77777777" w:rsidR="002C0074" w:rsidRDefault="002C0074" w:rsidP="00010E0B">
      <w:pPr>
        <w:spacing w:after="12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6E459810" w14:textId="5643B04D" w:rsidR="00EB2BA9" w:rsidRDefault="00EB2BA9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 w:rsidR="001505B3">
        <w:rPr>
          <w:rFonts w:asciiTheme="minorHAnsi" w:hAnsiTheme="minorHAnsi" w:cstheme="minorHAnsi"/>
        </w:rPr>
        <w:lastRenderedPageBreak/>
        <w:t xml:space="preserve">Die genannten Investitionskosten wurden mit Bescheid des Landschaftsverbandes Rheinland vom </w:t>
      </w:r>
      <w:r w:rsidR="000846E4">
        <w:rPr>
          <w:rFonts w:asciiTheme="minorHAnsi" w:hAnsiTheme="minorHAnsi" w:cstheme="minorHAnsi"/>
        </w:rPr>
        <w:t>11.11.2025</w:t>
      </w:r>
      <w:r w:rsidR="001505B3">
        <w:rPr>
          <w:rFonts w:asciiTheme="minorHAnsi" w:hAnsiTheme="minorHAnsi" w:cstheme="minorHAnsi"/>
        </w:rPr>
        <w:t xml:space="preserve"> ab 01.01.202</w:t>
      </w:r>
      <w:r w:rsidR="000846E4">
        <w:rPr>
          <w:rFonts w:asciiTheme="minorHAnsi" w:hAnsiTheme="minorHAnsi" w:cstheme="minorHAnsi"/>
        </w:rPr>
        <w:t>6</w:t>
      </w:r>
      <w:r w:rsidR="001505B3">
        <w:rPr>
          <w:rFonts w:asciiTheme="minorHAnsi" w:hAnsiTheme="minorHAnsi" w:cstheme="minorHAnsi"/>
        </w:rPr>
        <w:t xml:space="preserve"> geändert. </w:t>
      </w:r>
    </w:p>
    <w:p w14:paraId="76D5DA1F" w14:textId="2E6B87CD" w:rsidR="00010E0B" w:rsidRDefault="00010E0B" w:rsidP="00010E0B">
      <w:pPr>
        <w:jc w:val="both"/>
        <w:rPr>
          <w:rFonts w:asciiTheme="minorHAnsi" w:hAnsiTheme="minorHAnsi" w:cstheme="minorHAnsi"/>
        </w:rPr>
      </w:pPr>
      <w:r w:rsidRPr="00010E0B">
        <w:rPr>
          <w:rFonts w:asciiTheme="minorHAnsi" w:hAnsiTheme="minorHAnsi" w:cstheme="minorHAnsi"/>
        </w:rPr>
        <w:t>Um vollstationär versorgte Pflegebedürftige finanziell zu entlasten, wird ab dem 01.01.2022 der Eigenanteil durch einen Leistungszuschlag der Pflegekassen in den Pflegegraden 2 – 5 stufenweise verringert.</w:t>
      </w:r>
    </w:p>
    <w:p w14:paraId="6E81271A" w14:textId="73B12878" w:rsidR="002C0074" w:rsidRDefault="00010E0B" w:rsidP="002C0074">
      <w:pPr>
        <w:ind w:left="2" w:firstLine="0"/>
        <w:jc w:val="both"/>
        <w:rPr>
          <w:rFonts w:asciiTheme="minorHAnsi" w:hAnsiTheme="minorHAnsi" w:cstheme="minorHAnsi"/>
        </w:rPr>
      </w:pPr>
      <w:r w:rsidRPr="00010E0B">
        <w:rPr>
          <w:rFonts w:asciiTheme="minorHAnsi" w:hAnsiTheme="minorHAnsi" w:cstheme="minorHAnsi"/>
        </w:rPr>
        <w:t>Der Leistungszuschlag wird von den Pflegekassen gezahlt und beträgt: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4106"/>
        <w:gridCol w:w="1948"/>
      </w:tblGrid>
      <w:tr w:rsidR="00010E0B" w:rsidRPr="009E1ECC" w14:paraId="619346C6" w14:textId="77777777" w:rsidTr="00E0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452766" w14:textId="77777777" w:rsidR="00E076E5" w:rsidRDefault="00010E0B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010E0B">
              <w:rPr>
                <w:rFonts w:asciiTheme="minorHAnsi" w:hAnsiTheme="minorHAnsi" w:cstheme="minorHAnsi"/>
              </w:rPr>
              <w:t xml:space="preserve">vollstationäre </w:t>
            </w:r>
          </w:p>
          <w:p w14:paraId="65278841" w14:textId="7C8FF8B5" w:rsidR="00010E0B" w:rsidRPr="00010E0B" w:rsidRDefault="00010E0B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0E0B">
              <w:rPr>
                <w:rFonts w:asciiTheme="minorHAnsi" w:hAnsiTheme="minorHAnsi" w:cstheme="minorHAnsi"/>
              </w:rPr>
              <w:t>Aufenthaltsdauer</w:t>
            </w:r>
          </w:p>
        </w:tc>
        <w:tc>
          <w:tcPr>
            <w:tcW w:w="1948" w:type="dxa"/>
          </w:tcPr>
          <w:p w14:paraId="38A308BF" w14:textId="77777777" w:rsidR="00010E0B" w:rsidRPr="00010E0B" w:rsidRDefault="00010E0B" w:rsidP="00010E0B">
            <w:pPr>
              <w:spacing w:before="60" w:after="6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0E0B">
              <w:rPr>
                <w:rFonts w:asciiTheme="minorHAnsi" w:hAnsiTheme="minorHAnsi" w:cstheme="minorHAnsi"/>
              </w:rPr>
              <w:t>Höhe Leistungszuschlag</w:t>
            </w:r>
          </w:p>
        </w:tc>
      </w:tr>
      <w:tr w:rsidR="00010E0B" w:rsidRPr="009E1ECC" w14:paraId="3096DA28" w14:textId="77777777" w:rsidTr="00E0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0F0D64" w14:textId="722781DD" w:rsidR="00010E0B" w:rsidRPr="00010E0B" w:rsidRDefault="00E076E5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 Beginn</w:t>
            </w:r>
          </w:p>
        </w:tc>
        <w:tc>
          <w:tcPr>
            <w:tcW w:w="1948" w:type="dxa"/>
          </w:tcPr>
          <w:p w14:paraId="5E81B202" w14:textId="3969F907" w:rsidR="00010E0B" w:rsidRPr="00010E0B" w:rsidRDefault="00010E0B" w:rsidP="00010E0B">
            <w:pPr>
              <w:spacing w:before="60" w:after="6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0E0B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="002F19ED">
              <w:rPr>
                <w:rFonts w:asciiTheme="minorHAnsi" w:hAnsiTheme="minorHAnsi" w:cstheme="minorHAnsi"/>
              </w:rPr>
              <w:t>15</w:t>
            </w:r>
            <w:r w:rsidRPr="00010E0B">
              <w:rPr>
                <w:rFonts w:asciiTheme="minorHAnsi" w:hAnsiTheme="minorHAnsi" w:cstheme="minorHAnsi"/>
              </w:rPr>
              <w:t xml:space="preserve"> %</w:t>
            </w:r>
          </w:p>
        </w:tc>
      </w:tr>
      <w:tr w:rsidR="00010E0B" w:rsidRPr="009E1ECC" w14:paraId="75BBB062" w14:textId="77777777" w:rsidTr="00E07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63C0BCC" w14:textId="085496F3" w:rsidR="00010E0B" w:rsidRPr="00010E0B" w:rsidRDefault="00E076E5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nach </w:t>
            </w:r>
            <w:r w:rsidR="00010E0B" w:rsidRPr="00010E0B">
              <w:rPr>
                <w:rFonts w:asciiTheme="minorHAnsi" w:hAnsiTheme="minorHAnsi" w:cstheme="minorHAnsi"/>
              </w:rPr>
              <w:t>12 Monate</w:t>
            </w:r>
          </w:p>
        </w:tc>
        <w:tc>
          <w:tcPr>
            <w:tcW w:w="1948" w:type="dxa"/>
          </w:tcPr>
          <w:p w14:paraId="689D4DB9" w14:textId="22F0035A" w:rsidR="00010E0B" w:rsidRPr="00010E0B" w:rsidRDefault="002F19ED" w:rsidP="00010E0B">
            <w:pPr>
              <w:spacing w:before="60" w:after="6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010E0B" w:rsidRPr="00010E0B">
              <w:rPr>
                <w:rFonts w:asciiTheme="minorHAnsi" w:hAnsiTheme="minorHAnsi" w:cstheme="minorHAnsi"/>
              </w:rPr>
              <w:t xml:space="preserve"> %</w:t>
            </w:r>
          </w:p>
        </w:tc>
      </w:tr>
      <w:tr w:rsidR="00010E0B" w:rsidRPr="009E1ECC" w14:paraId="65BB2A0C" w14:textId="77777777" w:rsidTr="00E0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C6A9B4F" w14:textId="57CBA885" w:rsidR="00010E0B" w:rsidRPr="00010E0B" w:rsidRDefault="00E076E5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nach </w:t>
            </w:r>
            <w:r w:rsidR="00010E0B" w:rsidRPr="00010E0B">
              <w:rPr>
                <w:rFonts w:asciiTheme="minorHAnsi" w:hAnsiTheme="minorHAnsi" w:cstheme="minorHAnsi"/>
              </w:rPr>
              <w:t>24 Monate</w:t>
            </w:r>
          </w:p>
        </w:tc>
        <w:tc>
          <w:tcPr>
            <w:tcW w:w="1948" w:type="dxa"/>
          </w:tcPr>
          <w:p w14:paraId="60D4FB57" w14:textId="43DB48AE" w:rsidR="00010E0B" w:rsidRPr="00010E0B" w:rsidRDefault="002F19ED" w:rsidP="00010E0B">
            <w:pPr>
              <w:spacing w:before="60" w:after="6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010E0B" w:rsidRPr="00010E0B">
              <w:rPr>
                <w:rFonts w:asciiTheme="minorHAnsi" w:hAnsiTheme="minorHAnsi" w:cstheme="minorHAnsi"/>
              </w:rPr>
              <w:t xml:space="preserve"> %</w:t>
            </w:r>
          </w:p>
        </w:tc>
      </w:tr>
      <w:tr w:rsidR="00010E0B" w:rsidRPr="009E1ECC" w14:paraId="141A57B3" w14:textId="77777777" w:rsidTr="00E07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848E859" w14:textId="3B4F17D6" w:rsidR="00010E0B" w:rsidRPr="00010E0B" w:rsidRDefault="00E076E5" w:rsidP="00010E0B">
            <w:pPr>
              <w:spacing w:before="60" w:after="6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nach</w:t>
            </w:r>
            <w:r w:rsidR="00010E0B" w:rsidRPr="00010E0B">
              <w:rPr>
                <w:rFonts w:asciiTheme="minorHAnsi" w:hAnsiTheme="minorHAnsi" w:cstheme="minorHAnsi"/>
              </w:rPr>
              <w:t xml:space="preserve"> 36 Monate</w:t>
            </w:r>
          </w:p>
        </w:tc>
        <w:tc>
          <w:tcPr>
            <w:tcW w:w="1948" w:type="dxa"/>
          </w:tcPr>
          <w:p w14:paraId="00067DF2" w14:textId="211957E4" w:rsidR="00010E0B" w:rsidRPr="00010E0B" w:rsidRDefault="00010E0B" w:rsidP="00010E0B">
            <w:pPr>
              <w:spacing w:before="60" w:after="6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0E0B">
              <w:rPr>
                <w:rFonts w:asciiTheme="minorHAnsi" w:hAnsiTheme="minorHAnsi" w:cstheme="minorHAnsi"/>
              </w:rPr>
              <w:t>7</w:t>
            </w:r>
            <w:r w:rsidR="002F19ED">
              <w:rPr>
                <w:rFonts w:asciiTheme="minorHAnsi" w:hAnsiTheme="minorHAnsi" w:cstheme="minorHAnsi"/>
              </w:rPr>
              <w:t>5</w:t>
            </w:r>
            <w:r w:rsidRPr="00010E0B">
              <w:rPr>
                <w:rFonts w:asciiTheme="minorHAnsi" w:hAnsiTheme="minorHAnsi" w:cstheme="minorHAnsi"/>
              </w:rPr>
              <w:t xml:space="preserve"> %</w:t>
            </w:r>
          </w:p>
        </w:tc>
      </w:tr>
    </w:tbl>
    <w:p w14:paraId="4635B0B3" w14:textId="77777777" w:rsidR="00497B24" w:rsidRDefault="00497B24" w:rsidP="002C0074">
      <w:pPr>
        <w:ind w:left="2" w:firstLine="0"/>
        <w:jc w:val="both"/>
        <w:rPr>
          <w:rFonts w:asciiTheme="minorHAnsi" w:hAnsiTheme="minorHAnsi" w:cstheme="minorHAnsi"/>
        </w:rPr>
      </w:pPr>
    </w:p>
    <w:p w14:paraId="6E6A8B70" w14:textId="73BE2BF6" w:rsidR="00010E0B" w:rsidRDefault="00497B24" w:rsidP="002C0074">
      <w:pPr>
        <w:ind w:left="2" w:firstLine="0"/>
        <w:jc w:val="both"/>
        <w:rPr>
          <w:rFonts w:asciiTheme="minorHAnsi" w:hAnsiTheme="minorHAnsi" w:cstheme="minorHAnsi"/>
        </w:rPr>
      </w:pPr>
      <w:r w:rsidRPr="00497B24">
        <w:rPr>
          <w:rFonts w:asciiTheme="minorHAnsi" w:hAnsiTheme="minorHAnsi" w:cstheme="minorHAnsi"/>
        </w:rPr>
        <w:t>Der prozentuale Leistungszuschlag wird vom Eigenanteil an den pflegebedingten Aufwendungen einschließlich der Ausbildungsumlagen, die der Pflegebedürftige zu zahlen hat, geleistet.</w:t>
      </w:r>
    </w:p>
    <w:p w14:paraId="61A96929" w14:textId="45D78778" w:rsidR="00EB2BA9" w:rsidRDefault="00EB2BA9" w:rsidP="002C0074">
      <w:pPr>
        <w:ind w:left="2" w:firstLine="0"/>
        <w:jc w:val="both"/>
        <w:rPr>
          <w:rFonts w:asciiTheme="minorHAnsi" w:hAnsiTheme="minorHAnsi" w:cstheme="minorHAnsi"/>
        </w:rPr>
      </w:pPr>
      <w:r w:rsidRPr="00EB2BA9">
        <w:rPr>
          <w:rFonts w:asciiTheme="minorHAnsi" w:hAnsiTheme="minorHAnsi" w:cstheme="minorHAnsi"/>
        </w:rPr>
        <w:t>Pflegebedürftige Personen, die nach beamtenrechtlichen Vorschriften oder Grundsätzen Anspruch auf Beihilfe oder Heilfürsorge haben, erhalten den Leistungszuschlag gem. § 28 Abs. 2 SGB XI zur Hälfte. Privatversicherte erhalten nach § 23 Abs. 1 SGB XI gleichwertige Leistungen.</w:t>
      </w:r>
    </w:p>
    <w:p w14:paraId="7874D9FC" w14:textId="35DB9F1E" w:rsidR="001505B3" w:rsidRDefault="001505B3" w:rsidP="002C0074">
      <w:pPr>
        <w:ind w:left="2" w:firstLine="0"/>
        <w:jc w:val="both"/>
        <w:rPr>
          <w:rFonts w:asciiTheme="minorHAnsi" w:hAnsiTheme="minorHAnsi" w:cstheme="minorHAnsi"/>
        </w:rPr>
      </w:pPr>
    </w:p>
    <w:p w14:paraId="4574246E" w14:textId="632F392F" w:rsidR="001505B3" w:rsidRDefault="001505B3" w:rsidP="002C0074">
      <w:pPr>
        <w:ind w:left="2" w:firstLine="0"/>
        <w:jc w:val="both"/>
        <w:rPr>
          <w:rFonts w:asciiTheme="minorHAnsi" w:hAnsiTheme="minorHAnsi" w:cstheme="minorHAnsi"/>
        </w:rPr>
      </w:pPr>
    </w:p>
    <w:p w14:paraId="2DD901FD" w14:textId="77777777" w:rsidR="00335641" w:rsidRDefault="00335641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92E0579" w14:textId="77777777" w:rsidR="0052546F" w:rsidRPr="00390137" w:rsidRDefault="00DC0262" w:rsidP="00F26754">
      <w:pPr>
        <w:pStyle w:val="berschrift1"/>
        <w:ind w:left="-3562"/>
        <w:rPr>
          <w:rFonts w:asciiTheme="minorHAnsi" w:hAnsiTheme="minorHAnsi" w:cstheme="minorHAnsi"/>
          <w:i/>
          <w:color w:val="A1413F"/>
        </w:rPr>
      </w:pPr>
      <w:r w:rsidRPr="00390137">
        <w:rPr>
          <w:rFonts w:asciiTheme="minorHAnsi" w:hAnsiTheme="minorHAnsi" w:cstheme="minorHAnsi"/>
          <w:i/>
          <w:color w:val="A1413F"/>
        </w:rPr>
        <w:lastRenderedPageBreak/>
        <w:t>Kurzzeit-</w:t>
      </w:r>
      <w:r w:rsidR="00F26754">
        <w:rPr>
          <w:rFonts w:asciiTheme="minorHAnsi" w:hAnsiTheme="minorHAnsi" w:cstheme="minorHAnsi"/>
          <w:i/>
          <w:color w:val="A1413F"/>
        </w:rPr>
        <w:t xml:space="preserve"> </w:t>
      </w:r>
      <w:r w:rsidRPr="00390137">
        <w:rPr>
          <w:rFonts w:asciiTheme="minorHAnsi" w:hAnsiTheme="minorHAnsi" w:cstheme="minorHAnsi"/>
          <w:i/>
          <w:color w:val="A1413F"/>
        </w:rPr>
        <w:t>bzw. Verhinderungspflege</w:t>
      </w:r>
    </w:p>
    <w:p w14:paraId="7594E67E" w14:textId="77777777" w:rsidR="0052546F" w:rsidRPr="007D3D71" w:rsidRDefault="00DC0262">
      <w:pPr>
        <w:ind w:left="-3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 xml:space="preserve">In der Kurzzeit-/Verhinderungspflege werden die </w:t>
      </w:r>
      <w:r w:rsidR="007A342A">
        <w:rPr>
          <w:rFonts w:asciiTheme="minorHAnsi" w:hAnsiTheme="minorHAnsi" w:cstheme="minorHAnsi"/>
        </w:rPr>
        <w:t xml:space="preserve">folgenden </w:t>
      </w:r>
      <w:r w:rsidRPr="007D3D71">
        <w:rPr>
          <w:rFonts w:asciiTheme="minorHAnsi" w:hAnsiTheme="minorHAnsi" w:cstheme="minorHAnsi"/>
        </w:rPr>
        <w:t xml:space="preserve">Tagessätze, </w:t>
      </w:r>
      <w:r w:rsidR="007A342A">
        <w:rPr>
          <w:rFonts w:asciiTheme="minorHAnsi" w:hAnsiTheme="minorHAnsi" w:cstheme="minorHAnsi"/>
        </w:rPr>
        <w:t>berechnet:</w:t>
      </w:r>
    </w:p>
    <w:tbl>
      <w:tblPr>
        <w:tblStyle w:val="EinfacheTabelle1"/>
        <w:tblW w:w="9634" w:type="dxa"/>
        <w:tblBorders>
          <w:top w:val="single" w:sz="4" w:space="0" w:color="A1413F"/>
          <w:left w:val="single" w:sz="4" w:space="0" w:color="A1413F"/>
          <w:bottom w:val="single" w:sz="18" w:space="0" w:color="A1413F"/>
          <w:right w:val="single" w:sz="18" w:space="0" w:color="A1413F"/>
          <w:insideH w:val="single" w:sz="4" w:space="0" w:color="A1413F"/>
          <w:insideV w:val="single" w:sz="4" w:space="0" w:color="A1413F"/>
        </w:tblBorders>
        <w:tblLook w:val="04A0" w:firstRow="1" w:lastRow="0" w:firstColumn="1" w:lastColumn="0" w:noHBand="0" w:noVBand="1"/>
      </w:tblPr>
      <w:tblGrid>
        <w:gridCol w:w="2263"/>
        <w:gridCol w:w="5245"/>
        <w:gridCol w:w="2126"/>
      </w:tblGrid>
      <w:tr w:rsidR="007A342A" w14:paraId="0607C4DD" w14:textId="77777777" w:rsidTr="00BA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6C5B7392" w14:textId="77777777" w:rsidR="007A342A" w:rsidRPr="0014548C" w:rsidRDefault="007A342A" w:rsidP="00BD2B0B">
            <w:pPr>
              <w:spacing w:before="60" w:after="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pflegebedingter Aufwand</w:t>
            </w:r>
          </w:p>
        </w:tc>
        <w:tc>
          <w:tcPr>
            <w:tcW w:w="2126" w:type="dxa"/>
          </w:tcPr>
          <w:p w14:paraId="0B6D955D" w14:textId="77777777" w:rsidR="007A342A" w:rsidRPr="0014548C" w:rsidRDefault="007A342A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A342A" w14:paraId="538C194B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180EF9" w14:textId="77777777" w:rsidR="007A342A" w:rsidRPr="0014548C" w:rsidRDefault="007A342A" w:rsidP="00BD2B0B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D036B9A" w14:textId="77777777" w:rsidR="007A342A" w:rsidRPr="007A342A" w:rsidRDefault="007A342A" w:rsidP="007A342A">
            <w:pPr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7A342A">
              <w:rPr>
                <w:rFonts w:ascii="Times New Roman" w:hAnsi="Times New Roman" w:cs="Times New Roman"/>
                <w:i/>
              </w:rPr>
              <w:t>einheitlich unabhängig vom Pflegegrad</w:t>
            </w:r>
          </w:p>
        </w:tc>
        <w:tc>
          <w:tcPr>
            <w:tcW w:w="2126" w:type="dxa"/>
          </w:tcPr>
          <w:p w14:paraId="0743EA9C" w14:textId="54F7E550" w:rsidR="007A342A" w:rsidRPr="0014548C" w:rsidRDefault="004D00FD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155,99</w:t>
            </w:r>
          </w:p>
        </w:tc>
      </w:tr>
      <w:tr w:rsidR="009432F6" w14:paraId="21A87851" w14:textId="77777777" w:rsidTr="00BA6F6E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30BF0338" w14:textId="77777777" w:rsidR="009432F6" w:rsidRPr="0014548C" w:rsidRDefault="009432F6" w:rsidP="009432F6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 xml:space="preserve">Umlage </w:t>
            </w:r>
            <w:r>
              <w:rPr>
                <w:rFonts w:ascii="Times New Roman" w:hAnsi="Times New Roman" w:cs="Times New Roman"/>
              </w:rPr>
              <w:t>P</w:t>
            </w:r>
            <w:r w:rsidRPr="0014548C">
              <w:rPr>
                <w:rFonts w:ascii="Times New Roman" w:hAnsi="Times New Roman" w:cs="Times New Roman"/>
              </w:rPr>
              <w:t>flegeausbildung</w:t>
            </w:r>
          </w:p>
        </w:tc>
        <w:tc>
          <w:tcPr>
            <w:tcW w:w="2126" w:type="dxa"/>
          </w:tcPr>
          <w:p w14:paraId="2AEB5855" w14:textId="1E151AA2" w:rsidR="009432F6" w:rsidRPr="0014548C" w:rsidRDefault="000846E4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</w:tr>
      <w:tr w:rsidR="007A342A" w14:paraId="157E1892" w14:textId="77777777" w:rsidTr="00BA6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571C812F" w14:textId="77777777" w:rsidR="007A342A" w:rsidRPr="0014548C" w:rsidRDefault="007A342A" w:rsidP="00BD2B0B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Unterkunft</w:t>
            </w:r>
          </w:p>
        </w:tc>
        <w:tc>
          <w:tcPr>
            <w:tcW w:w="2126" w:type="dxa"/>
          </w:tcPr>
          <w:p w14:paraId="7B94C608" w14:textId="2B34DC73" w:rsidR="007A342A" w:rsidRPr="0014548C" w:rsidRDefault="00FF6884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="004D00FD">
              <w:rPr>
                <w:rFonts w:ascii="Times New Roman" w:hAnsi="Times New Roman" w:cs="Times New Roman"/>
              </w:rPr>
              <w:t>97</w:t>
            </w:r>
          </w:p>
        </w:tc>
      </w:tr>
      <w:tr w:rsidR="007A342A" w14:paraId="5BE073EC" w14:textId="77777777" w:rsidTr="00BA6F6E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21814FAA" w14:textId="77777777" w:rsidR="007A342A" w:rsidRPr="0014548C" w:rsidRDefault="007A342A" w:rsidP="00BD2B0B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Verpflegung</w:t>
            </w:r>
          </w:p>
        </w:tc>
        <w:tc>
          <w:tcPr>
            <w:tcW w:w="2126" w:type="dxa"/>
          </w:tcPr>
          <w:p w14:paraId="78D9F031" w14:textId="09DB0BCF" w:rsidR="007A342A" w:rsidRPr="0014548C" w:rsidRDefault="00FF6884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</w:t>
            </w:r>
            <w:r w:rsidR="004D00FD">
              <w:rPr>
                <w:rFonts w:ascii="Times New Roman" w:hAnsi="Times New Roman" w:cs="Times New Roman"/>
              </w:rPr>
              <w:t>53</w:t>
            </w:r>
          </w:p>
        </w:tc>
      </w:tr>
      <w:tr w:rsidR="006D7255" w14:paraId="24E697D4" w14:textId="77777777" w:rsidTr="00BE5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499317D5" w14:textId="68C3DF1D" w:rsidR="006D7255" w:rsidRPr="0014548C" w:rsidRDefault="006D7255" w:rsidP="00BD2B0B">
            <w:pPr>
              <w:spacing w:before="60" w:after="6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4548C">
              <w:rPr>
                <w:rFonts w:ascii="Times New Roman" w:hAnsi="Times New Roman" w:cs="Times New Roman"/>
              </w:rPr>
              <w:t>Investitionskosten</w:t>
            </w:r>
          </w:p>
        </w:tc>
        <w:tc>
          <w:tcPr>
            <w:tcW w:w="2126" w:type="dxa"/>
          </w:tcPr>
          <w:p w14:paraId="2B061F2C" w14:textId="0106CA2D" w:rsidR="006D7255" w:rsidRPr="0014548C" w:rsidRDefault="006D7255" w:rsidP="009432F6">
            <w:pPr>
              <w:tabs>
                <w:tab w:val="decimal" w:pos="1027"/>
              </w:tabs>
              <w:spacing w:before="60" w:after="6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28,30</w:t>
            </w:r>
          </w:p>
        </w:tc>
      </w:tr>
    </w:tbl>
    <w:p w14:paraId="3D5B6660" w14:textId="77777777" w:rsidR="007A342A" w:rsidRDefault="007A342A">
      <w:pPr>
        <w:ind w:left="-3"/>
        <w:rPr>
          <w:rFonts w:asciiTheme="minorHAnsi" w:hAnsiTheme="minorHAnsi" w:cstheme="minorHAnsi"/>
        </w:rPr>
      </w:pPr>
    </w:p>
    <w:p w14:paraId="445C8ADF" w14:textId="7A4817CD" w:rsidR="00135631" w:rsidRDefault="00DC0262" w:rsidP="008160D9">
      <w:pPr>
        <w:spacing w:after="0"/>
        <w:ind w:left="-3"/>
        <w:jc w:val="both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>Bei Pflegegrad 2-5 werden auf Antrag die Kosten</w:t>
      </w:r>
      <w:r w:rsidR="00D6294E">
        <w:rPr>
          <w:rFonts w:asciiTheme="minorHAnsi" w:hAnsiTheme="minorHAnsi" w:cstheme="minorHAnsi"/>
        </w:rPr>
        <w:t xml:space="preserve"> des pflegebedingten Aufwandes und der Umlage</w:t>
      </w:r>
      <w:r w:rsidR="008160D9">
        <w:rPr>
          <w:rFonts w:asciiTheme="minorHAnsi" w:hAnsiTheme="minorHAnsi" w:cstheme="minorHAnsi"/>
        </w:rPr>
        <w:t>n</w:t>
      </w:r>
      <w:r w:rsidR="00D6294E">
        <w:rPr>
          <w:rFonts w:asciiTheme="minorHAnsi" w:hAnsiTheme="minorHAnsi" w:cstheme="minorHAnsi"/>
        </w:rPr>
        <w:t xml:space="preserve"> </w:t>
      </w:r>
      <w:r w:rsidR="008160D9">
        <w:rPr>
          <w:rFonts w:asciiTheme="minorHAnsi" w:hAnsiTheme="minorHAnsi" w:cstheme="minorHAnsi"/>
        </w:rPr>
        <w:t>der P</w:t>
      </w:r>
      <w:r w:rsidRPr="007D3D71">
        <w:rPr>
          <w:rFonts w:asciiTheme="minorHAnsi" w:hAnsiTheme="minorHAnsi" w:cstheme="minorHAnsi"/>
        </w:rPr>
        <w:t xml:space="preserve">flegeausbildung bis zu einem Betrag von </w:t>
      </w:r>
      <w:r w:rsidR="00736EF2">
        <w:rPr>
          <w:rFonts w:asciiTheme="minorHAnsi" w:hAnsiTheme="minorHAnsi" w:cstheme="minorHAnsi"/>
        </w:rPr>
        <w:t xml:space="preserve">jährlich </w:t>
      </w:r>
      <w:r w:rsidRPr="007D3D71">
        <w:rPr>
          <w:rFonts w:asciiTheme="minorHAnsi" w:hAnsiTheme="minorHAnsi" w:cstheme="minorHAnsi"/>
        </w:rPr>
        <w:t>EUR 1.</w:t>
      </w:r>
      <w:r w:rsidR="001C5D12">
        <w:rPr>
          <w:rFonts w:asciiTheme="minorHAnsi" w:hAnsiTheme="minorHAnsi" w:cstheme="minorHAnsi"/>
        </w:rPr>
        <w:t>854,00</w:t>
      </w:r>
      <w:r w:rsidRPr="007D3D71">
        <w:rPr>
          <w:rFonts w:asciiTheme="minorHAnsi" w:hAnsiTheme="minorHAnsi" w:cstheme="minorHAnsi"/>
        </w:rPr>
        <w:t xml:space="preserve"> </w:t>
      </w:r>
      <w:r w:rsidR="00135631">
        <w:rPr>
          <w:rFonts w:asciiTheme="minorHAnsi" w:hAnsiTheme="minorHAnsi" w:cstheme="minorHAnsi"/>
        </w:rPr>
        <w:t xml:space="preserve">als Kurzzeitpflege und </w:t>
      </w:r>
      <w:r w:rsidR="00135631" w:rsidRPr="007D3D71">
        <w:rPr>
          <w:rFonts w:asciiTheme="minorHAnsi" w:hAnsiTheme="minorHAnsi" w:cstheme="minorHAnsi"/>
        </w:rPr>
        <w:t xml:space="preserve">bis zu einem Betrag von </w:t>
      </w:r>
      <w:r w:rsidR="00135631">
        <w:rPr>
          <w:rFonts w:asciiTheme="minorHAnsi" w:hAnsiTheme="minorHAnsi" w:cstheme="minorHAnsi"/>
        </w:rPr>
        <w:t xml:space="preserve">jährlich </w:t>
      </w:r>
      <w:r w:rsidR="00135631" w:rsidRPr="007D3D71">
        <w:rPr>
          <w:rFonts w:asciiTheme="minorHAnsi" w:hAnsiTheme="minorHAnsi" w:cstheme="minorHAnsi"/>
        </w:rPr>
        <w:t>EUR 1</w:t>
      </w:r>
      <w:r w:rsidR="00135631">
        <w:rPr>
          <w:rFonts w:asciiTheme="minorHAnsi" w:hAnsiTheme="minorHAnsi" w:cstheme="minorHAnsi"/>
        </w:rPr>
        <w:t>.</w:t>
      </w:r>
      <w:r w:rsidR="001C5D12">
        <w:rPr>
          <w:rFonts w:asciiTheme="minorHAnsi" w:hAnsiTheme="minorHAnsi" w:cstheme="minorHAnsi"/>
        </w:rPr>
        <w:t>685</w:t>
      </w:r>
      <w:r w:rsidR="00135631" w:rsidRPr="007D3D71">
        <w:rPr>
          <w:rFonts w:asciiTheme="minorHAnsi" w:hAnsiTheme="minorHAnsi" w:cstheme="minorHAnsi"/>
        </w:rPr>
        <w:t xml:space="preserve">,00 </w:t>
      </w:r>
      <w:r w:rsidR="00135631">
        <w:rPr>
          <w:rFonts w:asciiTheme="minorHAnsi" w:hAnsiTheme="minorHAnsi" w:cstheme="minorHAnsi"/>
        </w:rPr>
        <w:t xml:space="preserve">als Verhinderungspflege </w:t>
      </w:r>
      <w:r w:rsidR="00135631" w:rsidRPr="007D3D71">
        <w:rPr>
          <w:rFonts w:asciiTheme="minorHAnsi" w:hAnsiTheme="minorHAnsi" w:cstheme="minorHAnsi"/>
        </w:rPr>
        <w:t xml:space="preserve">direkt </w:t>
      </w:r>
      <w:r w:rsidR="00135631">
        <w:rPr>
          <w:rFonts w:asciiTheme="minorHAnsi" w:hAnsiTheme="minorHAnsi" w:cstheme="minorHAnsi"/>
        </w:rPr>
        <w:t xml:space="preserve">mit der </w:t>
      </w:r>
      <w:r w:rsidR="00135631" w:rsidRPr="007D3D71">
        <w:rPr>
          <w:rFonts w:asciiTheme="minorHAnsi" w:hAnsiTheme="minorHAnsi" w:cstheme="minorHAnsi"/>
        </w:rPr>
        <w:t xml:space="preserve">Pflegekasse </w:t>
      </w:r>
      <w:r w:rsidR="007A342A">
        <w:rPr>
          <w:rFonts w:asciiTheme="minorHAnsi" w:hAnsiTheme="minorHAnsi" w:cstheme="minorHAnsi"/>
        </w:rPr>
        <w:t>abge</w:t>
      </w:r>
      <w:r w:rsidRPr="007D3D71">
        <w:rPr>
          <w:rFonts w:asciiTheme="minorHAnsi" w:hAnsiTheme="minorHAnsi" w:cstheme="minorHAnsi"/>
        </w:rPr>
        <w:t>rechnet. Diese Betr</w:t>
      </w:r>
      <w:r w:rsidR="00135631">
        <w:rPr>
          <w:rFonts w:asciiTheme="minorHAnsi" w:hAnsiTheme="minorHAnsi" w:cstheme="minorHAnsi"/>
        </w:rPr>
        <w:t>ä</w:t>
      </w:r>
      <w:r w:rsidRPr="007D3D71">
        <w:rPr>
          <w:rFonts w:asciiTheme="minorHAnsi" w:hAnsiTheme="minorHAnsi" w:cstheme="minorHAnsi"/>
        </w:rPr>
        <w:t>g</w:t>
      </w:r>
      <w:r w:rsidR="00135631">
        <w:rPr>
          <w:rFonts w:asciiTheme="minorHAnsi" w:hAnsiTheme="minorHAnsi" w:cstheme="minorHAnsi"/>
        </w:rPr>
        <w:t>e</w:t>
      </w:r>
      <w:r w:rsidRPr="007D3D71">
        <w:rPr>
          <w:rFonts w:asciiTheme="minorHAnsi" w:hAnsiTheme="minorHAnsi" w:cstheme="minorHAnsi"/>
        </w:rPr>
        <w:t xml:space="preserve"> </w:t>
      </w:r>
      <w:r w:rsidR="00135631">
        <w:rPr>
          <w:rFonts w:asciiTheme="minorHAnsi" w:hAnsiTheme="minorHAnsi" w:cstheme="minorHAnsi"/>
        </w:rPr>
        <w:t>werden zusammengefasst</w:t>
      </w:r>
      <w:r w:rsidRPr="007D3D71">
        <w:rPr>
          <w:rFonts w:asciiTheme="minorHAnsi" w:hAnsiTheme="minorHAnsi" w:cstheme="minorHAnsi"/>
        </w:rPr>
        <w:t xml:space="preserve">, wenn </w:t>
      </w:r>
      <w:r w:rsidR="00135631">
        <w:rPr>
          <w:rFonts w:asciiTheme="minorHAnsi" w:hAnsiTheme="minorHAnsi" w:cstheme="minorHAnsi"/>
        </w:rPr>
        <w:t xml:space="preserve">die </w:t>
      </w:r>
      <w:r w:rsidR="008160D9">
        <w:rPr>
          <w:rFonts w:asciiTheme="minorHAnsi" w:hAnsiTheme="minorHAnsi" w:cstheme="minorHAnsi"/>
        </w:rPr>
        <w:t>Kurzzeit</w:t>
      </w:r>
      <w:r w:rsidR="00135631">
        <w:rPr>
          <w:rFonts w:asciiTheme="minorHAnsi" w:hAnsiTheme="minorHAnsi" w:cstheme="minorHAnsi"/>
        </w:rPr>
        <w:t xml:space="preserve">pflege um die </w:t>
      </w:r>
      <w:r w:rsidR="008160D9">
        <w:rPr>
          <w:rFonts w:asciiTheme="minorHAnsi" w:hAnsiTheme="minorHAnsi" w:cstheme="minorHAnsi"/>
        </w:rPr>
        <w:t xml:space="preserve">Verhinderungspflege </w:t>
      </w:r>
      <w:r w:rsidR="00135631">
        <w:rPr>
          <w:rFonts w:asciiTheme="minorHAnsi" w:hAnsiTheme="minorHAnsi" w:cstheme="minorHAnsi"/>
        </w:rPr>
        <w:t>verlängert wird.</w:t>
      </w:r>
    </w:p>
    <w:p w14:paraId="767339DA" w14:textId="0E6A6384" w:rsidR="007A342A" w:rsidRDefault="007A342A" w:rsidP="008160D9">
      <w:pPr>
        <w:spacing w:after="0"/>
        <w:ind w:left="-3"/>
        <w:jc w:val="both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 xml:space="preserve">Der Betrag von EUR </w:t>
      </w:r>
      <w:r w:rsidR="00135631">
        <w:rPr>
          <w:rFonts w:asciiTheme="minorHAnsi" w:hAnsiTheme="minorHAnsi" w:cstheme="minorHAnsi"/>
        </w:rPr>
        <w:t>1</w:t>
      </w:r>
      <w:r w:rsidRPr="007D3D71">
        <w:rPr>
          <w:rFonts w:asciiTheme="minorHAnsi" w:hAnsiTheme="minorHAnsi" w:cstheme="minorHAnsi"/>
        </w:rPr>
        <w:t>.</w:t>
      </w:r>
      <w:r w:rsidR="001C5D12">
        <w:rPr>
          <w:rFonts w:asciiTheme="minorHAnsi" w:hAnsiTheme="minorHAnsi" w:cstheme="minorHAnsi"/>
        </w:rPr>
        <w:t>854</w:t>
      </w:r>
      <w:r w:rsidRPr="007D3D71">
        <w:rPr>
          <w:rFonts w:asciiTheme="minorHAnsi" w:hAnsiTheme="minorHAnsi" w:cstheme="minorHAnsi"/>
        </w:rPr>
        <w:t xml:space="preserve">,00 </w:t>
      </w:r>
      <w:r w:rsidR="00135631">
        <w:rPr>
          <w:rFonts w:asciiTheme="minorHAnsi" w:hAnsiTheme="minorHAnsi" w:cstheme="minorHAnsi"/>
        </w:rPr>
        <w:t xml:space="preserve">für die Kurzzeitpflege </w:t>
      </w:r>
      <w:r w:rsidRPr="007D3D71">
        <w:rPr>
          <w:rFonts w:asciiTheme="minorHAnsi" w:hAnsiTheme="minorHAnsi" w:cstheme="minorHAnsi"/>
        </w:rPr>
        <w:t xml:space="preserve">reicht </w:t>
      </w:r>
      <w:r>
        <w:rPr>
          <w:rFonts w:asciiTheme="minorHAnsi" w:hAnsiTheme="minorHAnsi" w:cstheme="minorHAnsi"/>
        </w:rPr>
        <w:t>bei o.a. Tagessatz für</w:t>
      </w:r>
    </w:p>
    <w:p w14:paraId="01D6A1A6" w14:textId="0829F72B" w:rsidR="00135631" w:rsidRDefault="002B6A32" w:rsidP="007A342A">
      <w:pPr>
        <w:spacing w:before="120" w:after="120" w:line="240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11,</w:t>
      </w:r>
      <w:r w:rsidR="006008A9">
        <w:rPr>
          <w:rFonts w:asciiTheme="minorHAnsi" w:hAnsiTheme="minorHAnsi" w:cstheme="minorHAnsi"/>
          <w:b/>
        </w:rPr>
        <w:t>46</w:t>
      </w:r>
      <w:r w:rsidR="00F12430">
        <w:rPr>
          <w:rFonts w:asciiTheme="minorHAnsi" w:hAnsiTheme="minorHAnsi" w:cstheme="minorHAnsi"/>
          <w:b/>
        </w:rPr>
        <w:t xml:space="preserve"> </w:t>
      </w:r>
      <w:r w:rsidR="00135631">
        <w:rPr>
          <w:rFonts w:asciiTheme="minorHAnsi" w:hAnsiTheme="minorHAnsi" w:cstheme="minorHAnsi"/>
          <w:b/>
        </w:rPr>
        <w:t>Tage</w:t>
      </w:r>
    </w:p>
    <w:p w14:paraId="4A7A88C2" w14:textId="38437B02" w:rsidR="00135631" w:rsidRDefault="00135631" w:rsidP="00135631">
      <w:pPr>
        <w:spacing w:after="0"/>
        <w:ind w:left="-3"/>
        <w:jc w:val="both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 xml:space="preserve">Der Betrag von EUR </w:t>
      </w:r>
      <w:r>
        <w:rPr>
          <w:rFonts w:asciiTheme="minorHAnsi" w:hAnsiTheme="minorHAnsi" w:cstheme="minorHAnsi"/>
        </w:rPr>
        <w:t>1</w:t>
      </w:r>
      <w:r w:rsidRPr="007D3D7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6</w:t>
      </w:r>
      <w:r w:rsidR="001C5D12">
        <w:rPr>
          <w:rFonts w:asciiTheme="minorHAnsi" w:hAnsiTheme="minorHAnsi" w:cstheme="minorHAnsi"/>
        </w:rPr>
        <w:t>85</w:t>
      </w:r>
      <w:r w:rsidRPr="007D3D71">
        <w:rPr>
          <w:rFonts w:asciiTheme="minorHAnsi" w:hAnsiTheme="minorHAnsi" w:cstheme="minorHAnsi"/>
        </w:rPr>
        <w:t xml:space="preserve">,00 </w:t>
      </w:r>
      <w:r>
        <w:rPr>
          <w:rFonts w:asciiTheme="minorHAnsi" w:hAnsiTheme="minorHAnsi" w:cstheme="minorHAnsi"/>
        </w:rPr>
        <w:t xml:space="preserve">für die Verhinderungspflege </w:t>
      </w:r>
      <w:r w:rsidRPr="007D3D71">
        <w:rPr>
          <w:rFonts w:asciiTheme="minorHAnsi" w:hAnsiTheme="minorHAnsi" w:cstheme="minorHAnsi"/>
        </w:rPr>
        <w:t xml:space="preserve">reicht </w:t>
      </w:r>
      <w:r>
        <w:rPr>
          <w:rFonts w:asciiTheme="minorHAnsi" w:hAnsiTheme="minorHAnsi" w:cstheme="minorHAnsi"/>
        </w:rPr>
        <w:t>bei o.a. Tagessatz für</w:t>
      </w:r>
    </w:p>
    <w:p w14:paraId="3D7F5D40" w14:textId="30F7E583" w:rsidR="007A342A" w:rsidRPr="00736EF2" w:rsidRDefault="002B6A32" w:rsidP="007A342A">
      <w:pPr>
        <w:spacing w:before="120" w:after="120" w:line="240" w:lineRule="auto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10,</w:t>
      </w:r>
      <w:r w:rsidR="00F12430">
        <w:rPr>
          <w:rFonts w:asciiTheme="minorHAnsi" w:hAnsiTheme="minorHAnsi" w:cstheme="minorHAnsi"/>
          <w:b/>
        </w:rPr>
        <w:t>4</w:t>
      </w:r>
      <w:r w:rsidR="00B15564">
        <w:rPr>
          <w:rFonts w:asciiTheme="minorHAnsi" w:hAnsiTheme="minorHAnsi" w:cstheme="minorHAnsi"/>
          <w:b/>
        </w:rPr>
        <w:t>2</w:t>
      </w:r>
      <w:r w:rsidR="00F12430">
        <w:rPr>
          <w:rFonts w:asciiTheme="minorHAnsi" w:hAnsiTheme="minorHAnsi" w:cstheme="minorHAnsi"/>
          <w:b/>
        </w:rPr>
        <w:t xml:space="preserve"> </w:t>
      </w:r>
      <w:r w:rsidR="007A342A" w:rsidRPr="00736EF2">
        <w:rPr>
          <w:rFonts w:asciiTheme="minorHAnsi" w:hAnsiTheme="minorHAnsi" w:cstheme="minorHAnsi"/>
          <w:b/>
        </w:rPr>
        <w:t>Tage</w:t>
      </w:r>
    </w:p>
    <w:p w14:paraId="5A29403B" w14:textId="593FB5ED" w:rsidR="0052546F" w:rsidRPr="007D3D71" w:rsidRDefault="008160D9" w:rsidP="000B4A76">
      <w:pPr>
        <w:ind w:left="-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Bei d</w:t>
      </w:r>
      <w:r w:rsidR="00BA6F6E">
        <w:rPr>
          <w:rFonts w:asciiTheme="minorHAnsi" w:hAnsiTheme="minorHAnsi" w:cstheme="minorHAnsi"/>
        </w:rPr>
        <w:t>arü</w:t>
      </w:r>
      <w:r w:rsidR="00BA6F6E" w:rsidRPr="007D3D71">
        <w:rPr>
          <w:rFonts w:asciiTheme="minorHAnsi" w:hAnsiTheme="minorHAnsi" w:cstheme="minorHAnsi"/>
        </w:rPr>
        <w:t>berhinausgehende</w:t>
      </w:r>
      <w:r>
        <w:rPr>
          <w:rFonts w:asciiTheme="minorHAnsi" w:hAnsiTheme="minorHAnsi" w:cstheme="minorHAnsi"/>
        </w:rPr>
        <w:t>n</w:t>
      </w:r>
      <w:r w:rsidR="007A342A" w:rsidRPr="007D3D71">
        <w:rPr>
          <w:rFonts w:asciiTheme="minorHAnsi" w:hAnsiTheme="minorHAnsi" w:cstheme="minorHAnsi"/>
        </w:rPr>
        <w:t xml:space="preserve"> </w:t>
      </w:r>
      <w:r w:rsidR="00736EF2">
        <w:rPr>
          <w:rFonts w:asciiTheme="minorHAnsi" w:hAnsiTheme="minorHAnsi" w:cstheme="minorHAnsi"/>
        </w:rPr>
        <w:t>Zeiträume</w:t>
      </w:r>
      <w:r>
        <w:rPr>
          <w:rFonts w:asciiTheme="minorHAnsi" w:hAnsiTheme="minorHAnsi" w:cstheme="minorHAnsi"/>
        </w:rPr>
        <w:t>n</w:t>
      </w:r>
      <w:r w:rsidR="007A342A" w:rsidRPr="007D3D71">
        <w:rPr>
          <w:rFonts w:asciiTheme="minorHAnsi" w:hAnsiTheme="minorHAnsi" w:cstheme="minorHAnsi"/>
        </w:rPr>
        <w:t xml:space="preserve"> gehen </w:t>
      </w:r>
      <w:r>
        <w:rPr>
          <w:rFonts w:asciiTheme="minorHAnsi" w:hAnsiTheme="minorHAnsi" w:cstheme="minorHAnsi"/>
        </w:rPr>
        <w:t xml:space="preserve">die Tagessätze </w:t>
      </w:r>
      <w:r w:rsidR="007A342A" w:rsidRPr="007D3D71">
        <w:rPr>
          <w:rFonts w:asciiTheme="minorHAnsi" w:hAnsiTheme="minorHAnsi" w:cstheme="minorHAnsi"/>
        </w:rPr>
        <w:t>zu Lasten</w:t>
      </w:r>
      <w:r w:rsidR="007A342A">
        <w:rPr>
          <w:rFonts w:asciiTheme="minorHAnsi" w:hAnsiTheme="minorHAnsi" w:cstheme="minorHAnsi"/>
        </w:rPr>
        <w:t xml:space="preserve"> </w:t>
      </w:r>
      <w:r w:rsidR="007A342A" w:rsidRPr="007D3D71">
        <w:rPr>
          <w:rFonts w:asciiTheme="minorHAnsi" w:hAnsiTheme="minorHAnsi" w:cstheme="minorHAnsi"/>
        </w:rPr>
        <w:t>des Bewohners</w:t>
      </w:r>
      <w:r w:rsidR="007A342A">
        <w:rPr>
          <w:rFonts w:asciiTheme="minorHAnsi" w:hAnsiTheme="minorHAnsi" w:cstheme="minorHAnsi"/>
        </w:rPr>
        <w:t>.</w:t>
      </w:r>
      <w:r w:rsidR="000B4A76">
        <w:rPr>
          <w:rFonts w:asciiTheme="minorHAnsi" w:hAnsiTheme="minorHAnsi" w:cstheme="minorHAnsi"/>
        </w:rPr>
        <w:br/>
      </w:r>
      <w:r w:rsidR="00390137">
        <w:rPr>
          <w:rFonts w:asciiTheme="minorHAnsi" w:hAnsiTheme="minorHAnsi" w:cstheme="minorHAnsi"/>
        </w:rPr>
        <w:t>Im Pf</w:t>
      </w:r>
      <w:r w:rsidR="00DC0262" w:rsidRPr="007D3D71">
        <w:rPr>
          <w:rFonts w:asciiTheme="minorHAnsi" w:hAnsiTheme="minorHAnsi" w:cstheme="minorHAnsi"/>
        </w:rPr>
        <w:t>l</w:t>
      </w:r>
      <w:r w:rsidR="00390137">
        <w:rPr>
          <w:rFonts w:asciiTheme="minorHAnsi" w:hAnsiTheme="minorHAnsi" w:cstheme="minorHAnsi"/>
        </w:rPr>
        <w:t>e</w:t>
      </w:r>
      <w:r w:rsidR="00DC0262" w:rsidRPr="007D3D71">
        <w:rPr>
          <w:rFonts w:asciiTheme="minorHAnsi" w:hAnsiTheme="minorHAnsi" w:cstheme="minorHAnsi"/>
        </w:rPr>
        <w:t xml:space="preserve">gegrad 1 kann </w:t>
      </w:r>
      <w:r w:rsidR="007A342A">
        <w:rPr>
          <w:rFonts w:asciiTheme="minorHAnsi" w:hAnsiTheme="minorHAnsi" w:cstheme="minorHAnsi"/>
        </w:rPr>
        <w:t xml:space="preserve">ggf. </w:t>
      </w:r>
      <w:r w:rsidR="00DC0262" w:rsidRPr="007D3D71">
        <w:rPr>
          <w:rFonts w:asciiTheme="minorHAnsi" w:hAnsiTheme="minorHAnsi" w:cstheme="minorHAnsi"/>
        </w:rPr>
        <w:t>der Entlastungsbet</w:t>
      </w:r>
      <w:r w:rsidR="00390137">
        <w:rPr>
          <w:rFonts w:asciiTheme="minorHAnsi" w:hAnsiTheme="minorHAnsi" w:cstheme="minorHAnsi"/>
        </w:rPr>
        <w:t>r</w:t>
      </w:r>
      <w:r w:rsidR="00DC0262" w:rsidRPr="007D3D71">
        <w:rPr>
          <w:rFonts w:asciiTheme="minorHAnsi" w:hAnsiTheme="minorHAnsi" w:cstheme="minorHAnsi"/>
        </w:rPr>
        <w:t>ag von EUR 125,00 eingesetzt werden.</w:t>
      </w:r>
    </w:p>
    <w:p w14:paraId="7B920B6B" w14:textId="183FFF66" w:rsidR="007A342A" w:rsidRPr="007D3D71" w:rsidRDefault="007A342A" w:rsidP="007A342A">
      <w:pPr>
        <w:ind w:left="-3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>Die Kosten für Unterkunft und Verpflegung gehen zu Lasten des Bewohners. Unter bes</w:t>
      </w:r>
      <w:r w:rsidR="008160D9">
        <w:rPr>
          <w:rFonts w:asciiTheme="minorHAnsi" w:hAnsiTheme="minorHAnsi" w:cstheme="minorHAnsi"/>
        </w:rPr>
        <w:t xml:space="preserve">timmten </w:t>
      </w:r>
      <w:r w:rsidRPr="007D3D71">
        <w:rPr>
          <w:rFonts w:asciiTheme="minorHAnsi" w:hAnsiTheme="minorHAnsi" w:cstheme="minorHAnsi"/>
        </w:rPr>
        <w:t>Umständen können hier weitere Zuschüss</w:t>
      </w:r>
      <w:r>
        <w:rPr>
          <w:rFonts w:asciiTheme="minorHAnsi" w:hAnsiTheme="minorHAnsi" w:cstheme="minorHAnsi"/>
        </w:rPr>
        <w:t>e bei der Pflegekasse beantragt werden.</w:t>
      </w:r>
    </w:p>
    <w:p w14:paraId="2CCD0EF8" w14:textId="77777777" w:rsidR="0052546F" w:rsidRPr="007D3D71" w:rsidRDefault="00DC0262">
      <w:pPr>
        <w:ind w:left="-3"/>
        <w:rPr>
          <w:rFonts w:asciiTheme="minorHAnsi" w:hAnsiTheme="minorHAnsi" w:cstheme="minorHAnsi"/>
        </w:rPr>
      </w:pPr>
      <w:r w:rsidRPr="007D3D71">
        <w:rPr>
          <w:rFonts w:asciiTheme="minorHAnsi" w:hAnsiTheme="minorHAnsi" w:cstheme="minorHAnsi"/>
        </w:rPr>
        <w:t>Die Investition</w:t>
      </w:r>
      <w:r w:rsidR="00390137">
        <w:rPr>
          <w:rFonts w:asciiTheme="minorHAnsi" w:hAnsiTheme="minorHAnsi" w:cstheme="minorHAnsi"/>
        </w:rPr>
        <w:t>skosten werden bei</w:t>
      </w:r>
      <w:r w:rsidR="00CC0A67">
        <w:rPr>
          <w:rFonts w:asciiTheme="minorHAnsi" w:hAnsiTheme="minorHAnsi" w:cstheme="minorHAnsi"/>
        </w:rPr>
        <w:t xml:space="preserve"> einem</w:t>
      </w:r>
      <w:r w:rsidR="00390137">
        <w:rPr>
          <w:rFonts w:asciiTheme="minorHAnsi" w:hAnsiTheme="minorHAnsi" w:cstheme="minorHAnsi"/>
        </w:rPr>
        <w:t xml:space="preserve"> durch die Pf</w:t>
      </w:r>
      <w:r w:rsidRPr="007D3D71">
        <w:rPr>
          <w:rFonts w:asciiTheme="minorHAnsi" w:hAnsiTheme="minorHAnsi" w:cstheme="minorHAnsi"/>
        </w:rPr>
        <w:t>l</w:t>
      </w:r>
      <w:r w:rsidR="00390137">
        <w:rPr>
          <w:rFonts w:asciiTheme="minorHAnsi" w:hAnsiTheme="minorHAnsi" w:cstheme="minorHAnsi"/>
        </w:rPr>
        <w:t>e</w:t>
      </w:r>
      <w:r w:rsidR="00CC0A67">
        <w:rPr>
          <w:rFonts w:asciiTheme="minorHAnsi" w:hAnsiTheme="minorHAnsi" w:cstheme="minorHAnsi"/>
        </w:rPr>
        <w:t>gekasse genehmigten Aufenthalt</w:t>
      </w:r>
      <w:r w:rsidRPr="007D3D71">
        <w:rPr>
          <w:rFonts w:asciiTheme="minorHAnsi" w:hAnsiTheme="minorHAnsi" w:cstheme="minorHAnsi"/>
        </w:rPr>
        <w:t xml:space="preserve"> in Pflegegrad 2-5 direkt mit der zuständigen Kreis- bzw. Stadtverwaltung abgerechnet.</w:t>
      </w:r>
    </w:p>
    <w:sectPr w:rsidR="0052546F" w:rsidRPr="007D3D71" w:rsidSect="000E4466">
      <w:headerReference w:type="even" r:id="rId8"/>
      <w:headerReference w:type="default" r:id="rId9"/>
      <w:footerReference w:type="default" r:id="rId10"/>
      <w:headerReference w:type="first" r:id="rId11"/>
      <w:pgSz w:w="11904" w:h="16836" w:code="9"/>
      <w:pgMar w:top="3742" w:right="1134" w:bottom="1366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FE01" w14:textId="77777777" w:rsidR="006560FD" w:rsidRDefault="006560FD">
      <w:pPr>
        <w:spacing w:after="0" w:line="240" w:lineRule="auto"/>
      </w:pPr>
      <w:r>
        <w:separator/>
      </w:r>
    </w:p>
  </w:endnote>
  <w:endnote w:type="continuationSeparator" w:id="0">
    <w:p w14:paraId="292D2FDE" w14:textId="77777777" w:rsidR="006560FD" w:rsidRDefault="006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FD6C" w14:textId="1C02C13F" w:rsidR="00E53626" w:rsidRPr="00E53626" w:rsidRDefault="00E53626" w:rsidP="00E53626">
    <w:pPr>
      <w:pStyle w:val="Fuzeile"/>
      <w:jc w:val="center"/>
      <w:rPr>
        <w:b/>
        <w:i/>
        <w:sz w:val="28"/>
      </w:rPr>
    </w:pPr>
    <w:r w:rsidRPr="00E53626">
      <w:rPr>
        <w:b/>
        <w:i/>
        <w:sz w:val="28"/>
      </w:rPr>
      <w:t>Gültig ab 01.0</w:t>
    </w:r>
    <w:r w:rsidR="001B6A60">
      <w:rPr>
        <w:b/>
        <w:i/>
        <w:sz w:val="28"/>
      </w:rPr>
      <w:t>1</w:t>
    </w:r>
    <w:r w:rsidRPr="00E53626">
      <w:rPr>
        <w:b/>
        <w:i/>
        <w:sz w:val="28"/>
      </w:rPr>
      <w:t>.202</w:t>
    </w:r>
    <w:r w:rsidR="001B6A60">
      <w:rPr>
        <w:b/>
        <w:i/>
        <w:sz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E900" w14:textId="77777777" w:rsidR="006560FD" w:rsidRDefault="006560FD">
      <w:pPr>
        <w:spacing w:after="0" w:line="240" w:lineRule="auto"/>
      </w:pPr>
      <w:r>
        <w:separator/>
      </w:r>
    </w:p>
  </w:footnote>
  <w:footnote w:type="continuationSeparator" w:id="0">
    <w:p w14:paraId="71AF0161" w14:textId="77777777" w:rsidR="006560FD" w:rsidRDefault="0065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624E" w14:textId="77777777" w:rsidR="0052546F" w:rsidRDefault="00D65E0B">
    <w:pPr>
      <w:spacing w:after="0" w:line="259" w:lineRule="auto"/>
      <w:ind w:left="-1385" w:right="10767" w:firstLine="0"/>
    </w:pPr>
    <w:r>
      <w:rPr>
        <w:noProof/>
      </w:rPr>
      <w:drawing>
        <wp:anchor distT="0" distB="0" distL="114300" distR="114300" simplePos="0" relativeHeight="251665408" behindDoc="1" locked="0" layoutInCell="1" allowOverlap="0" wp14:anchorId="4D432923" wp14:editId="248E019A">
          <wp:simplePos x="0" y="0"/>
          <wp:positionH relativeFrom="page">
            <wp:posOffset>878205</wp:posOffset>
          </wp:positionH>
          <wp:positionV relativeFrom="page">
            <wp:posOffset>457200</wp:posOffset>
          </wp:positionV>
          <wp:extent cx="5958000" cy="1180800"/>
          <wp:effectExtent l="0" t="0" r="5080" b="635"/>
          <wp:wrapNone/>
          <wp:docPr id="3" name="Picture 4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" name="Picture 4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F0D06" w14:textId="77777777" w:rsidR="0052546F" w:rsidRDefault="00DC0262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E03B45" wp14:editId="134ECD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676" name="Group 7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56C88C3" id="Group 7676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e0Mne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5CFD" w14:textId="77777777" w:rsidR="00D65E0B" w:rsidRDefault="00D65E0B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0" wp14:anchorId="512D0A66" wp14:editId="47F4BF6C">
          <wp:simplePos x="0" y="0"/>
          <wp:positionH relativeFrom="page">
            <wp:posOffset>878205</wp:posOffset>
          </wp:positionH>
          <wp:positionV relativeFrom="page">
            <wp:posOffset>457200</wp:posOffset>
          </wp:positionV>
          <wp:extent cx="5958000" cy="1180800"/>
          <wp:effectExtent l="0" t="0" r="5080" b="635"/>
          <wp:wrapNone/>
          <wp:docPr id="5" name="Picture 4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" name="Picture 4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30EA" w14:textId="77777777" w:rsidR="0052546F" w:rsidRDefault="00DC0262">
    <w:pPr>
      <w:spacing w:after="0" w:line="259" w:lineRule="auto"/>
      <w:ind w:left="-1385" w:right="10767" w:firstLine="0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360804F" wp14:editId="782703A7">
          <wp:simplePos x="1156335" y="561340"/>
          <wp:positionH relativeFrom="page">
            <wp:align>center</wp:align>
          </wp:positionH>
          <wp:positionV relativeFrom="page">
            <wp:posOffset>431800</wp:posOffset>
          </wp:positionV>
          <wp:extent cx="5958000" cy="1180800"/>
          <wp:effectExtent l="0" t="0" r="5080" b="635"/>
          <wp:wrapNone/>
          <wp:docPr id="1" name="Picture 4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" name="Picture 4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C4EDB" w14:textId="77777777" w:rsidR="0052546F" w:rsidRDefault="00DC0262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BC41D46" wp14:editId="7DA3C6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666" name="Group 7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2D2A67F" id="Group 7666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bXzjH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3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71681">
      <o:colormru v:ext="edit" colors="#f1efe9,#f8f7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F"/>
    <w:rsid w:val="00010E0B"/>
    <w:rsid w:val="00022AEB"/>
    <w:rsid w:val="00037879"/>
    <w:rsid w:val="000846E4"/>
    <w:rsid w:val="00093BEC"/>
    <w:rsid w:val="000B4A76"/>
    <w:rsid w:val="000E4466"/>
    <w:rsid w:val="000E6F48"/>
    <w:rsid w:val="000F2AE4"/>
    <w:rsid w:val="000F7001"/>
    <w:rsid w:val="00132B44"/>
    <w:rsid w:val="00135631"/>
    <w:rsid w:val="0014548C"/>
    <w:rsid w:val="001505B3"/>
    <w:rsid w:val="0017613D"/>
    <w:rsid w:val="001826C2"/>
    <w:rsid w:val="001B6576"/>
    <w:rsid w:val="001B6A60"/>
    <w:rsid w:val="001C5D12"/>
    <w:rsid w:val="001F0232"/>
    <w:rsid w:val="00236350"/>
    <w:rsid w:val="002536A8"/>
    <w:rsid w:val="002907F4"/>
    <w:rsid w:val="002B6A32"/>
    <w:rsid w:val="002B719E"/>
    <w:rsid w:val="002C0074"/>
    <w:rsid w:val="002D6C3A"/>
    <w:rsid w:val="002F19ED"/>
    <w:rsid w:val="00335641"/>
    <w:rsid w:val="00355546"/>
    <w:rsid w:val="00390137"/>
    <w:rsid w:val="003B0B21"/>
    <w:rsid w:val="003B5463"/>
    <w:rsid w:val="003D00D0"/>
    <w:rsid w:val="004131E3"/>
    <w:rsid w:val="00424887"/>
    <w:rsid w:val="00424D0A"/>
    <w:rsid w:val="00424D9B"/>
    <w:rsid w:val="00441664"/>
    <w:rsid w:val="00462104"/>
    <w:rsid w:val="00497B24"/>
    <w:rsid w:val="004A4BDC"/>
    <w:rsid w:val="004D00FD"/>
    <w:rsid w:val="004E3FE9"/>
    <w:rsid w:val="004F152C"/>
    <w:rsid w:val="00524564"/>
    <w:rsid w:val="0052546F"/>
    <w:rsid w:val="0053728C"/>
    <w:rsid w:val="00551FAE"/>
    <w:rsid w:val="005C4450"/>
    <w:rsid w:val="005F1BEF"/>
    <w:rsid w:val="006008A9"/>
    <w:rsid w:val="006502C8"/>
    <w:rsid w:val="006560FD"/>
    <w:rsid w:val="00660817"/>
    <w:rsid w:val="006B13F4"/>
    <w:rsid w:val="006D7255"/>
    <w:rsid w:val="006E04B4"/>
    <w:rsid w:val="00710346"/>
    <w:rsid w:val="00736EF2"/>
    <w:rsid w:val="007407D4"/>
    <w:rsid w:val="0074593D"/>
    <w:rsid w:val="00750231"/>
    <w:rsid w:val="007A1D4A"/>
    <w:rsid w:val="007A342A"/>
    <w:rsid w:val="007D2DE1"/>
    <w:rsid w:val="007D3D71"/>
    <w:rsid w:val="007D6D93"/>
    <w:rsid w:val="007D7B9A"/>
    <w:rsid w:val="007F0AFB"/>
    <w:rsid w:val="007F156C"/>
    <w:rsid w:val="007F6CDE"/>
    <w:rsid w:val="00813185"/>
    <w:rsid w:val="008160D9"/>
    <w:rsid w:val="0081762C"/>
    <w:rsid w:val="00827CD7"/>
    <w:rsid w:val="00853653"/>
    <w:rsid w:val="008572C4"/>
    <w:rsid w:val="008A10CA"/>
    <w:rsid w:val="008A24D3"/>
    <w:rsid w:val="008B0559"/>
    <w:rsid w:val="008C4D58"/>
    <w:rsid w:val="008D3164"/>
    <w:rsid w:val="008D700C"/>
    <w:rsid w:val="009077F1"/>
    <w:rsid w:val="009205C1"/>
    <w:rsid w:val="009328FA"/>
    <w:rsid w:val="009432F6"/>
    <w:rsid w:val="00943671"/>
    <w:rsid w:val="00973639"/>
    <w:rsid w:val="00981EC2"/>
    <w:rsid w:val="009C7DFE"/>
    <w:rsid w:val="00A06861"/>
    <w:rsid w:val="00A46398"/>
    <w:rsid w:val="00A7074D"/>
    <w:rsid w:val="00A92348"/>
    <w:rsid w:val="00AD6419"/>
    <w:rsid w:val="00B01636"/>
    <w:rsid w:val="00B025B6"/>
    <w:rsid w:val="00B03E97"/>
    <w:rsid w:val="00B112D0"/>
    <w:rsid w:val="00B15564"/>
    <w:rsid w:val="00B53D15"/>
    <w:rsid w:val="00B656E3"/>
    <w:rsid w:val="00BA6F6E"/>
    <w:rsid w:val="00BE1DF8"/>
    <w:rsid w:val="00BE52A9"/>
    <w:rsid w:val="00BF0F4E"/>
    <w:rsid w:val="00C03851"/>
    <w:rsid w:val="00C16653"/>
    <w:rsid w:val="00C63123"/>
    <w:rsid w:val="00C953C8"/>
    <w:rsid w:val="00CA280A"/>
    <w:rsid w:val="00CA7AD2"/>
    <w:rsid w:val="00CB4584"/>
    <w:rsid w:val="00CC0A67"/>
    <w:rsid w:val="00CD1A75"/>
    <w:rsid w:val="00CE30E5"/>
    <w:rsid w:val="00CE4F97"/>
    <w:rsid w:val="00D02669"/>
    <w:rsid w:val="00D035BC"/>
    <w:rsid w:val="00D05722"/>
    <w:rsid w:val="00D436E3"/>
    <w:rsid w:val="00D6294E"/>
    <w:rsid w:val="00D65E0B"/>
    <w:rsid w:val="00D76147"/>
    <w:rsid w:val="00D843F2"/>
    <w:rsid w:val="00DC0262"/>
    <w:rsid w:val="00DE7E51"/>
    <w:rsid w:val="00DF4195"/>
    <w:rsid w:val="00E03AA6"/>
    <w:rsid w:val="00E076E5"/>
    <w:rsid w:val="00E417C2"/>
    <w:rsid w:val="00E4657B"/>
    <w:rsid w:val="00E53626"/>
    <w:rsid w:val="00E65BCD"/>
    <w:rsid w:val="00EB2BA9"/>
    <w:rsid w:val="00F040E3"/>
    <w:rsid w:val="00F12430"/>
    <w:rsid w:val="00F26754"/>
    <w:rsid w:val="00F34222"/>
    <w:rsid w:val="00F5071A"/>
    <w:rsid w:val="00F525AB"/>
    <w:rsid w:val="00F64C3C"/>
    <w:rsid w:val="00F9149B"/>
    <w:rsid w:val="00F93E36"/>
    <w:rsid w:val="00FB7A1B"/>
    <w:rsid w:val="00FC1A87"/>
    <w:rsid w:val="00FE68A9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1efe9,#f8f7f4"/>
    </o:shapedefaults>
    <o:shapelayout v:ext="edit">
      <o:idmap v:ext="edit" data="1"/>
    </o:shapelayout>
  </w:shapeDefaults>
  <w:decimalSymbol w:val=","/>
  <w:listSeparator w:val=";"/>
  <w14:docId w14:val="2F08F160"/>
  <w15:docId w15:val="{A24094E0-CCAD-426A-8CEA-B01AAB03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83" w:line="249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05"/>
      <w:ind w:left="326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B0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E97"/>
    <w:rPr>
      <w:rFonts w:ascii="Calibri" w:eastAsia="Calibri" w:hAnsi="Calibri" w:cs="Calibri"/>
      <w:color w:val="000000"/>
      <w:sz w:val="24"/>
    </w:rPr>
  </w:style>
  <w:style w:type="table" w:styleId="Tabellenraster">
    <w:name w:val="Table Grid"/>
    <w:basedOn w:val="NormaleTabelle"/>
    <w:uiPriority w:val="39"/>
    <w:rsid w:val="007D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7D3D71"/>
    <w:pPr>
      <w:spacing w:after="0" w:line="240" w:lineRule="auto"/>
    </w:pPr>
    <w:tblPr>
      <w:tblBorders>
        <w:top w:val="single" w:sz="4" w:space="0" w:color="C2BAA0" w:themeColor="background1" w:themeShade="BF"/>
        <w:left w:val="single" w:sz="4" w:space="0" w:color="C2BAA0" w:themeColor="background1" w:themeShade="BF"/>
        <w:bottom w:val="single" w:sz="4" w:space="0" w:color="C2BAA0" w:themeColor="background1" w:themeShade="BF"/>
        <w:right w:val="single" w:sz="4" w:space="0" w:color="C2BAA0" w:themeColor="background1" w:themeShade="BF"/>
        <w:insideH w:val="single" w:sz="4" w:space="0" w:color="C2BAA0" w:themeColor="background1" w:themeShade="BF"/>
        <w:insideV w:val="single" w:sz="4" w:space="0" w:color="C2BAA0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D3D71"/>
    <w:pPr>
      <w:spacing w:after="0" w:line="240" w:lineRule="auto"/>
    </w:pPr>
    <w:tblPr>
      <w:tblStyleRowBandSize w:val="1"/>
      <w:tblStyleColBandSize w:val="1"/>
      <w:tblBorders>
        <w:top w:val="single" w:sz="4" w:space="0" w:color="C2BAA0" w:themeColor="background1" w:themeShade="BF"/>
        <w:left w:val="single" w:sz="4" w:space="0" w:color="C2BAA0" w:themeColor="background1" w:themeShade="BF"/>
        <w:bottom w:val="single" w:sz="4" w:space="0" w:color="C2BAA0" w:themeColor="background1" w:themeShade="BF"/>
        <w:right w:val="single" w:sz="4" w:space="0" w:color="C2BAA0" w:themeColor="background1" w:themeShade="BF"/>
        <w:insideH w:val="single" w:sz="4" w:space="0" w:color="C2BAA0" w:themeColor="background1" w:themeShade="BF"/>
        <w:insideV w:val="single" w:sz="4" w:space="0" w:color="C2BAA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C2BAA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A" w:themeFill="background1" w:themeFillShade="F2"/>
      </w:tcPr>
    </w:tblStylePr>
    <w:tblStylePr w:type="band1Horz">
      <w:tblPr/>
      <w:tcPr>
        <w:shd w:val="clear" w:color="auto" w:fill="E7E4DA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7D3D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7D3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E4DA" w:themeFill="background1" w:themeFillShade="F2"/>
      </w:tcPr>
    </w:tblStylePr>
    <w:tblStylePr w:type="band1Horz">
      <w:tblPr/>
      <w:tcPr>
        <w:shd w:val="clear" w:color="auto" w:fill="E7E4D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D3D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A" w:themeFill="background1" w:themeFillShade="F2"/>
      </w:tcPr>
    </w:tblStylePr>
    <w:tblStylePr w:type="band1Horz">
      <w:tblPr/>
      <w:tcPr>
        <w:shd w:val="clear" w:color="auto" w:fill="E7E4DA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7D3D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1EFE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1EFE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1EFE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1EFE9" w:themeFill="background1"/>
      </w:tcPr>
    </w:tblStylePr>
    <w:tblStylePr w:type="band1Vert">
      <w:tblPr/>
      <w:tcPr>
        <w:shd w:val="clear" w:color="auto" w:fill="E7E4DA" w:themeFill="background1" w:themeFillShade="F2"/>
      </w:tcPr>
    </w:tblStylePr>
    <w:tblStylePr w:type="band1Horz">
      <w:tblPr/>
      <w:tcPr>
        <w:shd w:val="clear" w:color="auto" w:fill="E7E4D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BDC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65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E0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rgbClr val="F1EFE9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88A9-1643-4607-A130-AC33F183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</dc:creator>
  <cp:keywords/>
  <cp:lastModifiedBy>Ramms, Nicole</cp:lastModifiedBy>
  <cp:revision>21</cp:revision>
  <cp:lastPrinted>2025-01-22T13:04:00Z</cp:lastPrinted>
  <dcterms:created xsi:type="dcterms:W3CDTF">2024-10-23T13:28:00Z</dcterms:created>
  <dcterms:modified xsi:type="dcterms:W3CDTF">2025-12-10T13:51:00Z</dcterms:modified>
</cp:coreProperties>
</file>